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C3" w:rsidRDefault="007174C3" w:rsidP="005B1507">
      <w:pPr>
        <w:jc w:val="center"/>
        <w:rPr>
          <w:b/>
          <w:i/>
          <w:u w:val="single"/>
        </w:rPr>
      </w:pPr>
      <w:r>
        <w:rPr>
          <w:noProof/>
          <w:lang w:val="es-AR" w:eastAsia="es-AR"/>
        </w:rPr>
        <w:drawing>
          <wp:inline distT="0" distB="0" distL="0" distR="0">
            <wp:extent cx="2724150" cy="1743075"/>
            <wp:effectExtent l="19050" t="0" r="0" b="0"/>
            <wp:docPr id="1" name="Imagen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srcRect/>
                    <a:stretch>
                      <a:fillRect/>
                    </a:stretch>
                  </pic:blipFill>
                  <pic:spPr bwMode="auto">
                    <a:xfrm>
                      <a:off x="0" y="0"/>
                      <a:ext cx="2724150" cy="1743075"/>
                    </a:xfrm>
                    <a:prstGeom prst="rect">
                      <a:avLst/>
                    </a:prstGeom>
                    <a:noFill/>
                    <a:ln w="9525">
                      <a:noFill/>
                      <a:miter lim="800000"/>
                      <a:headEnd/>
                      <a:tailEnd/>
                    </a:ln>
                    <a:effectLst/>
                  </pic:spPr>
                </pic:pic>
              </a:graphicData>
            </a:graphic>
          </wp:inline>
        </w:drawing>
      </w:r>
    </w:p>
    <w:p w:rsidR="007174C3" w:rsidRPr="007174C3" w:rsidRDefault="007174C3" w:rsidP="005B1507">
      <w:pPr>
        <w:jc w:val="center"/>
        <w:rPr>
          <w:rFonts w:cstheme="minorHAnsi"/>
          <w:b/>
          <w:i/>
          <w:sz w:val="32"/>
          <w:szCs w:val="32"/>
          <w:u w:val="single"/>
        </w:rPr>
      </w:pPr>
    </w:p>
    <w:p w:rsidR="007174C3" w:rsidRPr="007174C3" w:rsidRDefault="007174C3" w:rsidP="007174C3">
      <w:pPr>
        <w:jc w:val="center"/>
        <w:rPr>
          <w:rFonts w:cstheme="minorHAnsi"/>
          <w:b/>
          <w:i/>
          <w:sz w:val="32"/>
          <w:szCs w:val="32"/>
          <w:u w:val="single"/>
        </w:rPr>
      </w:pPr>
    </w:p>
    <w:p w:rsidR="007174C3" w:rsidRPr="007174C3" w:rsidRDefault="007174C3" w:rsidP="007174C3">
      <w:pPr>
        <w:spacing w:after="0" w:line="240" w:lineRule="auto"/>
        <w:jc w:val="center"/>
        <w:rPr>
          <w:rFonts w:eastAsia="Times New Roman" w:cstheme="minorHAnsi"/>
          <w:b/>
          <w:color w:val="000000"/>
          <w:sz w:val="32"/>
          <w:szCs w:val="32"/>
          <w:lang w:eastAsia="es-AR"/>
        </w:rPr>
      </w:pPr>
      <w:r w:rsidRPr="007174C3">
        <w:rPr>
          <w:rFonts w:eastAsia="Times New Roman" w:cstheme="minorHAnsi"/>
          <w:b/>
          <w:color w:val="000000"/>
          <w:sz w:val="32"/>
          <w:szCs w:val="32"/>
          <w:lang w:eastAsia="es-AR"/>
        </w:rPr>
        <w:t>"</w:t>
      </w:r>
      <w:r w:rsidRPr="00F85AF9">
        <w:rPr>
          <w:rFonts w:eastAsia="Times New Roman" w:cstheme="minorHAnsi"/>
          <w:b/>
          <w:color w:val="000000"/>
          <w:sz w:val="32"/>
          <w:szCs w:val="32"/>
          <w:lang w:eastAsia="es-AR"/>
        </w:rPr>
        <w:t xml:space="preserve">UN AÑO DE MACRI </w:t>
      </w:r>
    </w:p>
    <w:p w:rsidR="007174C3" w:rsidRPr="007174C3" w:rsidRDefault="007174C3" w:rsidP="007174C3">
      <w:pPr>
        <w:pBdr>
          <w:bottom w:val="single" w:sz="6" w:space="1" w:color="auto"/>
        </w:pBdr>
        <w:spacing w:after="0" w:line="240" w:lineRule="auto"/>
        <w:jc w:val="center"/>
        <w:rPr>
          <w:rFonts w:eastAsia="Times New Roman" w:cstheme="minorHAnsi"/>
          <w:b/>
          <w:color w:val="000000"/>
          <w:sz w:val="32"/>
          <w:szCs w:val="32"/>
          <w:lang w:eastAsia="es-AR"/>
        </w:rPr>
      </w:pPr>
      <w:r w:rsidRPr="00F85AF9">
        <w:rPr>
          <w:rFonts w:eastAsia="Times New Roman" w:cstheme="minorHAnsi"/>
          <w:b/>
          <w:color w:val="000000"/>
          <w:sz w:val="32"/>
          <w:szCs w:val="32"/>
          <w:lang w:eastAsia="es-AR"/>
        </w:rPr>
        <w:t>EN EL MERCADO LABORAL ARGENTINO"</w:t>
      </w:r>
    </w:p>
    <w:p w:rsidR="007174C3" w:rsidRPr="007174C3" w:rsidRDefault="007174C3" w:rsidP="007174C3">
      <w:pPr>
        <w:spacing w:after="0" w:line="240" w:lineRule="auto"/>
        <w:jc w:val="center"/>
        <w:rPr>
          <w:rFonts w:eastAsia="Times New Roman" w:cstheme="minorHAnsi"/>
          <w:b/>
          <w:color w:val="000000"/>
          <w:sz w:val="32"/>
          <w:szCs w:val="32"/>
          <w:lang w:eastAsia="es-AR"/>
        </w:rPr>
      </w:pPr>
    </w:p>
    <w:p w:rsidR="007174C3" w:rsidRPr="007174C3" w:rsidRDefault="007174C3" w:rsidP="007174C3">
      <w:pPr>
        <w:spacing w:after="0" w:line="240" w:lineRule="auto"/>
        <w:jc w:val="center"/>
        <w:rPr>
          <w:rFonts w:eastAsia="Times New Roman" w:cstheme="minorHAnsi"/>
          <w:b/>
          <w:color w:val="000000"/>
          <w:sz w:val="32"/>
          <w:szCs w:val="32"/>
          <w:lang w:eastAsia="es-AR"/>
        </w:rPr>
      </w:pPr>
    </w:p>
    <w:p w:rsidR="007174C3" w:rsidRPr="00F85AF9" w:rsidRDefault="007174C3" w:rsidP="007174C3">
      <w:pPr>
        <w:spacing w:after="0" w:line="240" w:lineRule="auto"/>
        <w:jc w:val="center"/>
        <w:rPr>
          <w:rFonts w:eastAsia="Times New Roman" w:cstheme="minorHAnsi"/>
          <w:b/>
          <w:color w:val="000000"/>
          <w:sz w:val="32"/>
          <w:szCs w:val="32"/>
          <w:lang w:eastAsia="es-AR"/>
        </w:rPr>
      </w:pPr>
      <w:r w:rsidRPr="007174C3">
        <w:rPr>
          <w:rFonts w:eastAsia="Times New Roman" w:cstheme="minorHAnsi"/>
          <w:b/>
          <w:color w:val="000000"/>
          <w:sz w:val="32"/>
          <w:szCs w:val="32"/>
          <w:lang w:eastAsia="es-AR"/>
        </w:rPr>
        <w:t>Evolución</w:t>
      </w:r>
      <w:r w:rsidRPr="00F85AF9">
        <w:rPr>
          <w:rFonts w:eastAsia="Times New Roman" w:cstheme="minorHAnsi"/>
          <w:b/>
          <w:color w:val="000000"/>
          <w:sz w:val="32"/>
          <w:szCs w:val="32"/>
          <w:lang w:eastAsia="es-AR"/>
        </w:rPr>
        <w:t xml:space="preserve"> 2016</w:t>
      </w:r>
    </w:p>
    <w:p w:rsidR="007174C3" w:rsidRPr="007174C3" w:rsidRDefault="007174C3" w:rsidP="005B1507">
      <w:pPr>
        <w:jc w:val="center"/>
        <w:rPr>
          <w:rFonts w:cstheme="minorHAnsi"/>
          <w:b/>
          <w:i/>
          <w:sz w:val="32"/>
          <w:szCs w:val="32"/>
          <w:u w:val="single"/>
        </w:rPr>
      </w:pPr>
    </w:p>
    <w:p w:rsidR="007174C3" w:rsidRPr="007174C3" w:rsidRDefault="007174C3" w:rsidP="005B1507">
      <w:pPr>
        <w:jc w:val="center"/>
        <w:rPr>
          <w:rFonts w:cstheme="minorHAnsi"/>
          <w:b/>
          <w:i/>
          <w:sz w:val="32"/>
          <w:szCs w:val="32"/>
          <w:u w:val="single"/>
        </w:rPr>
      </w:pPr>
    </w:p>
    <w:p w:rsidR="007174C3" w:rsidRPr="007174C3" w:rsidRDefault="007174C3" w:rsidP="005B1507">
      <w:pPr>
        <w:jc w:val="center"/>
        <w:rPr>
          <w:rFonts w:cstheme="minorHAnsi"/>
          <w:b/>
          <w:i/>
          <w:sz w:val="32"/>
          <w:szCs w:val="32"/>
          <w:u w:val="single"/>
        </w:rPr>
      </w:pPr>
    </w:p>
    <w:p w:rsidR="007174C3" w:rsidRPr="007174C3" w:rsidRDefault="007174C3" w:rsidP="005B1507">
      <w:pPr>
        <w:jc w:val="center"/>
        <w:rPr>
          <w:rFonts w:cstheme="minorHAnsi"/>
          <w:b/>
          <w:i/>
          <w:sz w:val="32"/>
          <w:szCs w:val="32"/>
          <w:u w:val="single"/>
        </w:rPr>
      </w:pPr>
    </w:p>
    <w:p w:rsidR="007174C3" w:rsidRPr="007174C3" w:rsidRDefault="007174C3" w:rsidP="005B1507">
      <w:pPr>
        <w:jc w:val="center"/>
        <w:rPr>
          <w:rFonts w:cstheme="minorHAnsi"/>
          <w:b/>
          <w:i/>
          <w:sz w:val="32"/>
          <w:szCs w:val="32"/>
          <w:u w:val="single"/>
        </w:rPr>
      </w:pPr>
    </w:p>
    <w:p w:rsidR="007174C3" w:rsidRPr="007174C3" w:rsidRDefault="007174C3" w:rsidP="005B1507">
      <w:pPr>
        <w:jc w:val="center"/>
        <w:rPr>
          <w:rFonts w:cstheme="minorHAnsi"/>
          <w:b/>
          <w:i/>
          <w:sz w:val="32"/>
          <w:szCs w:val="32"/>
          <w:u w:val="single"/>
        </w:rPr>
      </w:pPr>
    </w:p>
    <w:p w:rsidR="007174C3" w:rsidRPr="007174C3" w:rsidRDefault="007174C3" w:rsidP="005B1507">
      <w:pPr>
        <w:jc w:val="center"/>
        <w:rPr>
          <w:rFonts w:cstheme="minorHAnsi"/>
          <w:b/>
          <w:i/>
          <w:sz w:val="32"/>
          <w:szCs w:val="32"/>
          <w:u w:val="single"/>
        </w:rPr>
      </w:pPr>
    </w:p>
    <w:p w:rsidR="007174C3" w:rsidRPr="007174C3" w:rsidRDefault="007174C3" w:rsidP="005B1507">
      <w:pPr>
        <w:jc w:val="center"/>
        <w:rPr>
          <w:rFonts w:cstheme="minorHAnsi"/>
          <w:b/>
          <w:i/>
          <w:sz w:val="32"/>
          <w:szCs w:val="32"/>
          <w:u w:val="single"/>
        </w:rPr>
      </w:pPr>
    </w:p>
    <w:p w:rsidR="007174C3" w:rsidRPr="007174C3" w:rsidRDefault="007174C3" w:rsidP="005B1507">
      <w:pPr>
        <w:jc w:val="center"/>
        <w:rPr>
          <w:rFonts w:cstheme="minorHAnsi"/>
          <w:b/>
          <w:i/>
          <w:sz w:val="32"/>
          <w:szCs w:val="32"/>
          <w:u w:val="single"/>
        </w:rPr>
      </w:pPr>
    </w:p>
    <w:p w:rsidR="007174C3" w:rsidRPr="007174C3" w:rsidRDefault="007174C3" w:rsidP="005B1507">
      <w:pPr>
        <w:jc w:val="center"/>
        <w:rPr>
          <w:rFonts w:cstheme="minorHAnsi"/>
          <w:b/>
          <w:i/>
          <w:sz w:val="32"/>
          <w:szCs w:val="32"/>
          <w:u w:val="single"/>
        </w:rPr>
      </w:pPr>
    </w:p>
    <w:p w:rsidR="007174C3" w:rsidRPr="007174C3" w:rsidRDefault="007174C3" w:rsidP="005B1507">
      <w:pPr>
        <w:jc w:val="center"/>
        <w:rPr>
          <w:rFonts w:cstheme="minorHAnsi"/>
          <w:b/>
          <w:i/>
          <w:sz w:val="32"/>
          <w:szCs w:val="32"/>
          <w:u w:val="single"/>
        </w:rPr>
      </w:pPr>
    </w:p>
    <w:p w:rsidR="007174C3" w:rsidRPr="007174C3" w:rsidRDefault="007174C3" w:rsidP="005B1507">
      <w:pPr>
        <w:jc w:val="center"/>
        <w:rPr>
          <w:rFonts w:cstheme="minorHAnsi"/>
          <w:b/>
          <w:sz w:val="32"/>
          <w:szCs w:val="32"/>
        </w:rPr>
      </w:pPr>
      <w:r>
        <w:rPr>
          <w:rFonts w:cstheme="minorHAnsi"/>
          <w:b/>
          <w:sz w:val="32"/>
          <w:szCs w:val="32"/>
        </w:rPr>
        <w:t>ANA RAMERI-</w:t>
      </w:r>
      <w:r w:rsidRPr="007174C3">
        <w:rPr>
          <w:rFonts w:cstheme="minorHAnsi"/>
          <w:b/>
          <w:sz w:val="32"/>
          <w:szCs w:val="32"/>
        </w:rPr>
        <w:t>CLAUDIO LOZANO</w:t>
      </w:r>
    </w:p>
    <w:p w:rsidR="007174C3" w:rsidRDefault="007174C3" w:rsidP="005B1507">
      <w:pPr>
        <w:jc w:val="center"/>
        <w:rPr>
          <w:b/>
          <w:i/>
          <w:u w:val="single"/>
        </w:rPr>
      </w:pPr>
    </w:p>
    <w:p w:rsidR="00C96B32" w:rsidRPr="00176AF9" w:rsidRDefault="00176AF9" w:rsidP="005B1507">
      <w:pPr>
        <w:jc w:val="center"/>
        <w:rPr>
          <w:b/>
          <w:i/>
          <w:u w:val="single"/>
        </w:rPr>
      </w:pPr>
      <w:r w:rsidRPr="00176AF9">
        <w:rPr>
          <w:b/>
          <w:i/>
          <w:u w:val="single"/>
        </w:rPr>
        <w:t>Balance del mercado laboral en base las estadísticas de empleo</w:t>
      </w:r>
    </w:p>
    <w:p w:rsidR="000E0F5A" w:rsidRDefault="000E0F5A" w:rsidP="000E0F5A">
      <w:pPr>
        <w:jc w:val="both"/>
      </w:pPr>
    </w:p>
    <w:p w:rsidR="000E0F5A" w:rsidRPr="000B2C1B" w:rsidRDefault="000E0F5A" w:rsidP="000E0F5A">
      <w:pPr>
        <w:pStyle w:val="Prrafodelista"/>
        <w:numPr>
          <w:ilvl w:val="0"/>
          <w:numId w:val="1"/>
        </w:numPr>
        <w:jc w:val="both"/>
        <w:rPr>
          <w:i/>
          <w:u w:val="single"/>
        </w:rPr>
      </w:pPr>
      <w:r w:rsidRPr="000B2C1B">
        <w:rPr>
          <w:i/>
          <w:u w:val="single"/>
        </w:rPr>
        <w:t xml:space="preserve">Estancamiento del empleo </w:t>
      </w:r>
    </w:p>
    <w:p w:rsidR="00176AF9" w:rsidRDefault="00176AF9" w:rsidP="003266BF">
      <w:pPr>
        <w:ind w:firstLine="708"/>
        <w:jc w:val="both"/>
      </w:pPr>
      <w:r>
        <w:t xml:space="preserve">En términos generales se observa que el empleo </w:t>
      </w:r>
      <w:r w:rsidR="0028736D">
        <w:t>continúa una tendencia decreciente iniciada a partir del año 2012</w:t>
      </w:r>
      <w:r w:rsidR="003713F1">
        <w:t xml:space="preserve">. A pesar de los altibajos estacionales de la tasa de empleo, del gráfico se observa, que la trayectoria general demuestra una baja en el nivel de empleo. Cabe destacar </w:t>
      </w:r>
      <w:r w:rsidR="008B415E">
        <w:t xml:space="preserve">que durante </w:t>
      </w:r>
      <w:r w:rsidR="003713F1">
        <w:t>el período comprendido entre el II trimestre 2013</w:t>
      </w:r>
      <w:r w:rsidR="00001B17">
        <w:t xml:space="preserve"> (43,1%) </w:t>
      </w:r>
      <w:r w:rsidR="003713F1">
        <w:t xml:space="preserve"> y III trimestre 2014</w:t>
      </w:r>
      <w:r w:rsidR="00001B17">
        <w:t xml:space="preserve"> (41,3%)</w:t>
      </w:r>
      <w:r w:rsidR="003713F1">
        <w:t xml:space="preserve"> se </w:t>
      </w:r>
      <w:r w:rsidR="008B415E">
        <w:t>experimentó la caída más importante</w:t>
      </w:r>
      <w:r w:rsidR="004F6963">
        <w:t xml:space="preserve">. </w:t>
      </w:r>
      <w:r w:rsidR="00001B17">
        <w:t>Luego de este fuerte descenso, la tasa de empleo oscil</w:t>
      </w:r>
      <w:r w:rsidR="008B415E">
        <w:t>a</w:t>
      </w:r>
      <w:r w:rsidR="00001B17">
        <w:t xml:space="preserve"> </w:t>
      </w:r>
      <w:r w:rsidR="00DC1607">
        <w:t xml:space="preserve">en un nivel menor al de los años anteriores, </w:t>
      </w:r>
      <w:r w:rsidR="00001B17">
        <w:t>en</w:t>
      </w:r>
      <w:r w:rsidR="00955C36">
        <w:t xml:space="preserve"> </w:t>
      </w:r>
      <w:r w:rsidR="00001B17">
        <w:t>torno al 42%.</w:t>
      </w:r>
    </w:p>
    <w:p w:rsidR="00001B17" w:rsidRDefault="00F538CC" w:rsidP="003266BF">
      <w:pPr>
        <w:ind w:firstLine="708"/>
        <w:jc w:val="both"/>
      </w:pPr>
      <w:r>
        <w:t>Particularmente, d</w:t>
      </w:r>
      <w:r w:rsidR="00001B17">
        <w:t xml:space="preserve">urante el último año se observa que </w:t>
      </w:r>
      <w:r w:rsidR="009C013A">
        <w:t xml:space="preserve">el empleo </w:t>
      </w:r>
      <w:r w:rsidR="00DC1607">
        <w:t>mantuvo</w:t>
      </w:r>
      <w:r w:rsidR="009C013A">
        <w:t xml:space="preserve"> una tendencia declinante aunque más moderada</w:t>
      </w:r>
      <w:r w:rsidR="008B415E">
        <w:t xml:space="preserve"> que la verificada con anterioridad</w:t>
      </w:r>
      <w:r w:rsidR="00DC1607">
        <w:t xml:space="preserve"> pero  que  en  términos  estrictos  de  tasa,  se  tradujo  en  una disminución que fue del 42,1% al 41,9% redundando en una caída de 28  mil puestos de </w:t>
      </w:r>
      <w:r w:rsidR="00845F9F">
        <w:t>trabajo (tal comparación resulta del 4to trimestre 2016 en relación al 3ro del año 2015 ya que no se dispone de las información correspondiente al 4to 2015).</w:t>
      </w:r>
    </w:p>
    <w:p w:rsidR="0028736D" w:rsidRDefault="0028736D"/>
    <w:p w:rsidR="005B60E2" w:rsidRDefault="005B60E2">
      <w:r>
        <w:t>Gráfico: Evolución de la tasa de empleo.</w:t>
      </w:r>
    </w:p>
    <w:p w:rsidR="003713F1" w:rsidRDefault="003713F1" w:rsidP="00845F9F">
      <w:pPr>
        <w:jc w:val="center"/>
      </w:pPr>
      <w:r w:rsidRPr="003713F1">
        <w:rPr>
          <w:noProof/>
          <w:lang w:val="es-AR" w:eastAsia="es-AR"/>
        </w:rPr>
        <w:drawing>
          <wp:inline distT="0" distB="0" distL="0" distR="0">
            <wp:extent cx="4943475" cy="2743200"/>
            <wp:effectExtent l="1905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13F1" w:rsidRDefault="00512649" w:rsidP="00404CC7">
      <w:pPr>
        <w:jc w:val="center"/>
        <w:rPr>
          <w:sz w:val="20"/>
          <w:szCs w:val="20"/>
        </w:rPr>
      </w:pPr>
      <w:r w:rsidRPr="00404CC7">
        <w:rPr>
          <w:sz w:val="20"/>
          <w:szCs w:val="20"/>
        </w:rPr>
        <w:t>Fuente: Elaboración propia en base a EPH – INDEC.</w:t>
      </w:r>
    </w:p>
    <w:p w:rsidR="00404CC7" w:rsidRDefault="00404CC7" w:rsidP="00404CC7">
      <w:pPr>
        <w:jc w:val="center"/>
        <w:rPr>
          <w:sz w:val="20"/>
          <w:szCs w:val="20"/>
        </w:rPr>
      </w:pPr>
    </w:p>
    <w:p w:rsidR="00404CC7" w:rsidRDefault="00404CC7" w:rsidP="00404CC7">
      <w:pPr>
        <w:jc w:val="center"/>
        <w:rPr>
          <w:sz w:val="20"/>
          <w:szCs w:val="20"/>
        </w:rPr>
      </w:pPr>
    </w:p>
    <w:p w:rsidR="00404CC7" w:rsidRDefault="00404CC7" w:rsidP="00404CC7">
      <w:pPr>
        <w:jc w:val="center"/>
        <w:rPr>
          <w:sz w:val="20"/>
          <w:szCs w:val="20"/>
        </w:rPr>
      </w:pPr>
    </w:p>
    <w:p w:rsidR="00404CC7" w:rsidRDefault="00404CC7" w:rsidP="00404CC7">
      <w:pPr>
        <w:jc w:val="center"/>
        <w:rPr>
          <w:sz w:val="20"/>
          <w:szCs w:val="20"/>
        </w:rPr>
      </w:pPr>
    </w:p>
    <w:p w:rsidR="00404CC7" w:rsidRDefault="00404CC7" w:rsidP="00404CC7">
      <w:pPr>
        <w:jc w:val="center"/>
        <w:rPr>
          <w:sz w:val="20"/>
          <w:szCs w:val="20"/>
        </w:rPr>
      </w:pPr>
    </w:p>
    <w:p w:rsidR="00404CC7" w:rsidRDefault="00404CC7" w:rsidP="00404CC7">
      <w:r>
        <w:t>Cuadro: Evolución de las tasas básicas del mercado laboral. 2015 – 2016.</w:t>
      </w:r>
    </w:p>
    <w:p w:rsidR="00845F9F" w:rsidRDefault="00845F9F">
      <w:r>
        <w:rPr>
          <w:noProof/>
          <w:lang w:val="es-AR" w:eastAsia="es-AR"/>
        </w:rPr>
        <w:drawing>
          <wp:inline distT="0" distB="0" distL="0" distR="0">
            <wp:extent cx="5400040" cy="137846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00040" cy="1378465"/>
                    </a:xfrm>
                    <a:prstGeom prst="rect">
                      <a:avLst/>
                    </a:prstGeom>
                    <a:noFill/>
                    <a:ln w="9525">
                      <a:noFill/>
                      <a:miter lim="800000"/>
                      <a:headEnd/>
                      <a:tailEnd/>
                    </a:ln>
                  </pic:spPr>
                </pic:pic>
              </a:graphicData>
            </a:graphic>
          </wp:inline>
        </w:drawing>
      </w:r>
    </w:p>
    <w:p w:rsidR="00073C16" w:rsidRDefault="00073C16" w:rsidP="00073C16">
      <w:pPr>
        <w:jc w:val="center"/>
        <w:rPr>
          <w:sz w:val="20"/>
          <w:szCs w:val="20"/>
        </w:rPr>
      </w:pPr>
      <w:r w:rsidRPr="00404CC7">
        <w:rPr>
          <w:sz w:val="20"/>
          <w:szCs w:val="20"/>
        </w:rPr>
        <w:t>Fuente: Elaboración propia en base a EPH – INDEC.</w:t>
      </w:r>
    </w:p>
    <w:p w:rsidR="0028736D" w:rsidRDefault="0028736D"/>
    <w:p w:rsidR="00176AF9" w:rsidRDefault="001F3ADB" w:rsidP="001F3ADB">
      <w:pPr>
        <w:jc w:val="both"/>
      </w:pPr>
      <w:r>
        <w:t>La fuente del SIPA, que publica el Ministerio de Trabajo, al ser una base de datos administrativos presenta información de empleo</w:t>
      </w:r>
      <w:r w:rsidR="00991DDD">
        <w:t>,</w:t>
      </w:r>
      <w:r>
        <w:t xml:space="preserve"> sólo para el segmento registrado de la fuerza laboral. De la misma se deducen, de todos modos, similares conclusiones respecto a la dinámica asumida por el empleo</w:t>
      </w:r>
      <w:r w:rsidR="00DA0D1F">
        <w:t xml:space="preserve"> (aunque cabe considerar que se deja de lado lo ocurrido con el empleo informal no registrado)</w:t>
      </w:r>
      <w:r w:rsidR="00DE062C">
        <w:t>.</w:t>
      </w:r>
    </w:p>
    <w:p w:rsidR="000E0F5A" w:rsidRDefault="00DE062C" w:rsidP="002573A2">
      <w:pPr>
        <w:jc w:val="both"/>
      </w:pPr>
      <w:r>
        <w:t>Se observa entonces que el empleo se mantiene prácticamente estancado</w:t>
      </w:r>
      <w:r w:rsidR="00E024F3">
        <w:t>, con una leve baja en</w:t>
      </w:r>
      <w:r w:rsidR="0054073C">
        <w:t xml:space="preserve"> la</w:t>
      </w:r>
      <w:r w:rsidR="00E024F3">
        <w:t xml:space="preserve"> tasa </w:t>
      </w:r>
      <w:r w:rsidR="0054073C">
        <w:t xml:space="preserve">de empleo </w:t>
      </w:r>
      <w:r w:rsidR="00160C2A">
        <w:t xml:space="preserve">(-0,5%) </w:t>
      </w:r>
      <w:r w:rsidR="00E024F3">
        <w:t>aunque</w:t>
      </w:r>
      <w:r w:rsidR="00991DDD">
        <w:t xml:space="preserve"> con</w:t>
      </w:r>
      <w:r w:rsidR="00E024F3">
        <w:t xml:space="preserve"> un marginal aumento en las cantidades absolutas </w:t>
      </w:r>
      <w:r w:rsidR="00160C2A">
        <w:t xml:space="preserve">(de aproximadamente 72 mil). Lo anterior </w:t>
      </w:r>
      <w:r w:rsidR="00E024F3">
        <w:t xml:space="preserve">implica que </w:t>
      </w:r>
      <w:r w:rsidR="00991DDD">
        <w:t>el</w:t>
      </w:r>
      <w:r w:rsidR="00160C2A">
        <w:t xml:space="preserve"> empleo registrado</w:t>
      </w:r>
      <w:r w:rsidR="00991DDD">
        <w:t>, si bien aumentó,</w:t>
      </w:r>
      <w:r w:rsidR="00E024F3">
        <w:t xml:space="preserve"> </w:t>
      </w:r>
      <w:r w:rsidR="00991DDD">
        <w:t>lo hizo por debajo</w:t>
      </w:r>
      <w:r w:rsidR="00E024F3">
        <w:t xml:space="preserve"> del crecimiento demográfico</w:t>
      </w:r>
      <w:r w:rsidR="000E0F5A">
        <w:t>, es decir, no logró cubrir el crecimiento de la oferta de fuerza laboral</w:t>
      </w:r>
      <w:r>
        <w:t xml:space="preserve">. </w:t>
      </w:r>
    </w:p>
    <w:p w:rsidR="001F3ADB" w:rsidRDefault="0054073C" w:rsidP="002573A2">
      <w:pPr>
        <w:jc w:val="both"/>
      </w:pPr>
      <w:r>
        <w:t>La primera diferencia entre el SIPA y la EPH se ubica, entonces, en las diferentes tendencias respecto a la cantidad de ocupados</w:t>
      </w:r>
      <w:r w:rsidR="002573A2">
        <w:t xml:space="preserve"> durante el año 2016</w:t>
      </w:r>
      <w:r w:rsidR="00A3134B">
        <w:t xml:space="preserve"> (no así en las tasas)</w:t>
      </w:r>
      <w:r>
        <w:t xml:space="preserve">, que en principio, </w:t>
      </w:r>
      <w:r w:rsidR="00A3134B">
        <w:t>parecerían</w:t>
      </w:r>
      <w:r>
        <w:t xml:space="preserve"> explicarse por </w:t>
      </w:r>
      <w:r w:rsidR="00A3134B">
        <w:t>una presunta caída</w:t>
      </w:r>
      <w:r>
        <w:t xml:space="preserve"> </w:t>
      </w:r>
      <w:r w:rsidR="00A3134B">
        <w:t xml:space="preserve">del </w:t>
      </w:r>
      <w:r>
        <w:t>segmento de los trabajadores no registrado</w:t>
      </w:r>
      <w:r w:rsidR="00A3134B">
        <w:t>s</w:t>
      </w:r>
      <w:r w:rsidR="00FD3365">
        <w:t xml:space="preserve"> -</w:t>
      </w:r>
      <w:r w:rsidR="00A3134B">
        <w:t xml:space="preserve"> ausentes en la fuente del SIPA</w:t>
      </w:r>
      <w:r w:rsidR="00FD3365">
        <w:t>-</w:t>
      </w:r>
      <w:r w:rsidR="00A3134B">
        <w:t xml:space="preserve"> aunque como se verá en el próximo punto, éste aumentó en lugar de caer</w:t>
      </w:r>
      <w:r w:rsidR="00EC7C36">
        <w:t>.</w:t>
      </w:r>
      <w:r w:rsidR="00A3134B">
        <w:t xml:space="preserve"> </w:t>
      </w:r>
    </w:p>
    <w:p w:rsidR="002573A2" w:rsidRDefault="002573A2" w:rsidP="002573A2">
      <w:pPr>
        <w:jc w:val="both"/>
      </w:pPr>
      <w:r>
        <w:t xml:space="preserve">Cabe señalar también, </w:t>
      </w:r>
      <w:r w:rsidR="003247E1">
        <w:t xml:space="preserve">que el año 2017 comenzó su primer mes con una caída en la cantidad de trabajadores </w:t>
      </w:r>
      <w:r w:rsidR="003F4933">
        <w:t>registrados</w:t>
      </w:r>
      <w:r w:rsidR="00FD3365">
        <w:t xml:space="preserve"> de gran intensidad,</w:t>
      </w:r>
      <w:r w:rsidR="000E0F5A">
        <w:t xml:space="preserve"> equivalente</w:t>
      </w:r>
      <w:r w:rsidR="00FD3365">
        <w:t xml:space="preserve"> incluso,</w:t>
      </w:r>
      <w:r w:rsidR="000E0F5A">
        <w:t xml:space="preserve"> a la mitad </w:t>
      </w:r>
      <w:r w:rsidR="00FD3365">
        <w:t>del aumento experimentado</w:t>
      </w:r>
      <w:r w:rsidR="000E0F5A">
        <w:t xml:space="preserve"> durante el año 2016</w:t>
      </w:r>
      <w:r w:rsidR="00160C2A">
        <w:t xml:space="preserve"> (</w:t>
      </w:r>
      <w:r w:rsidR="000E0F5A">
        <w:t xml:space="preserve">de </w:t>
      </w:r>
      <w:r w:rsidR="00160C2A">
        <w:t>-43 mil)</w:t>
      </w:r>
      <w:r w:rsidR="003247E1">
        <w:t xml:space="preserve"> que como tal</w:t>
      </w:r>
      <w:r w:rsidR="003F4933">
        <w:t>,</w:t>
      </w:r>
      <w:r w:rsidR="003247E1">
        <w:t xml:space="preserve"> se refleja </w:t>
      </w:r>
      <w:r w:rsidR="003F4933">
        <w:t>también en la evolución</w:t>
      </w:r>
      <w:r w:rsidR="00160C2A">
        <w:t xml:space="preserve"> negativa</w:t>
      </w:r>
      <w:r w:rsidR="003F4933">
        <w:t xml:space="preserve"> de la tasa.</w:t>
      </w:r>
    </w:p>
    <w:p w:rsidR="00E61111" w:rsidRDefault="00E61111" w:rsidP="002573A2">
      <w:pPr>
        <w:jc w:val="both"/>
      </w:pPr>
    </w:p>
    <w:p w:rsidR="00E61111" w:rsidRDefault="00E61111" w:rsidP="002573A2">
      <w:pPr>
        <w:jc w:val="both"/>
      </w:pPr>
    </w:p>
    <w:p w:rsidR="00E61111" w:rsidRDefault="00E61111" w:rsidP="002573A2">
      <w:pPr>
        <w:jc w:val="both"/>
      </w:pPr>
    </w:p>
    <w:p w:rsidR="00E61111" w:rsidRDefault="00E61111" w:rsidP="002573A2">
      <w:pPr>
        <w:jc w:val="both"/>
      </w:pPr>
    </w:p>
    <w:p w:rsidR="00E61111" w:rsidRDefault="00E61111" w:rsidP="002573A2">
      <w:pPr>
        <w:jc w:val="both"/>
      </w:pPr>
    </w:p>
    <w:p w:rsidR="00E61111" w:rsidRDefault="00E61111" w:rsidP="002573A2">
      <w:pPr>
        <w:jc w:val="both"/>
      </w:pPr>
    </w:p>
    <w:p w:rsidR="00E61111" w:rsidRDefault="00E61111" w:rsidP="002573A2">
      <w:pPr>
        <w:jc w:val="both"/>
      </w:pPr>
    </w:p>
    <w:p w:rsidR="00E61111" w:rsidRDefault="00E61111" w:rsidP="002573A2">
      <w:pPr>
        <w:jc w:val="both"/>
      </w:pPr>
      <w:r>
        <w:t>Cuadro: Evolución del empleo registrado.</w:t>
      </w:r>
    </w:p>
    <w:tbl>
      <w:tblPr>
        <w:tblW w:w="3880" w:type="dxa"/>
        <w:jc w:val="center"/>
        <w:tblCellMar>
          <w:left w:w="70" w:type="dxa"/>
          <w:right w:w="70" w:type="dxa"/>
        </w:tblCellMar>
        <w:tblLook w:val="04A0"/>
      </w:tblPr>
      <w:tblGrid>
        <w:gridCol w:w="1200"/>
        <w:gridCol w:w="1480"/>
        <w:gridCol w:w="1200"/>
      </w:tblGrid>
      <w:tr w:rsidR="002573A2" w:rsidRPr="002573A2" w:rsidTr="005923A5">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2573A2" w:rsidRPr="002573A2" w:rsidRDefault="002573A2" w:rsidP="000E0F5A">
            <w:pPr>
              <w:spacing w:after="0" w:line="240" w:lineRule="auto"/>
              <w:jc w:val="center"/>
              <w:rPr>
                <w:rFonts w:ascii="Arial Narrow" w:eastAsia="Times New Roman" w:hAnsi="Arial Narrow" w:cs="Calibri"/>
                <w:color w:val="FFFFFF"/>
                <w:sz w:val="20"/>
                <w:szCs w:val="20"/>
                <w:lang w:eastAsia="es-ES_tradnl"/>
              </w:rPr>
            </w:pPr>
          </w:p>
        </w:tc>
        <w:tc>
          <w:tcPr>
            <w:tcW w:w="1480" w:type="dxa"/>
            <w:tcBorders>
              <w:top w:val="single" w:sz="4" w:space="0" w:color="auto"/>
              <w:left w:val="nil"/>
              <w:bottom w:val="single" w:sz="4" w:space="0" w:color="auto"/>
              <w:right w:val="single" w:sz="4" w:space="0" w:color="auto"/>
            </w:tcBorders>
            <w:shd w:val="clear" w:color="000000" w:fill="0070C0"/>
            <w:noWrap/>
            <w:vAlign w:val="bottom"/>
            <w:hideMark/>
          </w:tcPr>
          <w:p w:rsidR="002573A2" w:rsidRPr="002573A2" w:rsidRDefault="002573A2" w:rsidP="002573A2">
            <w:pPr>
              <w:spacing w:after="0" w:line="240" w:lineRule="auto"/>
              <w:rPr>
                <w:rFonts w:ascii="Arial Narrow" w:eastAsia="Times New Roman" w:hAnsi="Arial Narrow" w:cs="Calibri"/>
                <w:color w:val="FFFFFF"/>
                <w:sz w:val="20"/>
                <w:szCs w:val="20"/>
                <w:lang w:eastAsia="es-ES_tradnl"/>
              </w:rPr>
            </w:pPr>
            <w:r w:rsidRPr="002573A2">
              <w:rPr>
                <w:rFonts w:ascii="Arial Narrow" w:eastAsia="Times New Roman" w:hAnsi="Arial Narrow" w:cs="Calibri"/>
                <w:color w:val="FFFFFF"/>
                <w:sz w:val="20"/>
                <w:szCs w:val="20"/>
                <w:lang w:eastAsia="es-ES_tradnl"/>
              </w:rPr>
              <w:t>Trabajadores registrados</w:t>
            </w:r>
          </w:p>
        </w:tc>
        <w:tc>
          <w:tcPr>
            <w:tcW w:w="1200" w:type="dxa"/>
            <w:tcBorders>
              <w:top w:val="single" w:sz="4" w:space="0" w:color="auto"/>
              <w:left w:val="nil"/>
              <w:bottom w:val="single" w:sz="4" w:space="0" w:color="auto"/>
              <w:right w:val="single" w:sz="4" w:space="0" w:color="auto"/>
            </w:tcBorders>
            <w:shd w:val="clear" w:color="000000" w:fill="0070C0"/>
            <w:noWrap/>
            <w:vAlign w:val="bottom"/>
            <w:hideMark/>
          </w:tcPr>
          <w:p w:rsidR="002573A2" w:rsidRPr="002573A2" w:rsidRDefault="002573A2" w:rsidP="002573A2">
            <w:pPr>
              <w:spacing w:after="0" w:line="240" w:lineRule="auto"/>
              <w:rPr>
                <w:rFonts w:ascii="Arial Narrow" w:eastAsia="Times New Roman" w:hAnsi="Arial Narrow" w:cs="Calibri"/>
                <w:color w:val="FFFFFF"/>
                <w:sz w:val="20"/>
                <w:szCs w:val="20"/>
                <w:lang w:eastAsia="es-ES_tradnl"/>
              </w:rPr>
            </w:pPr>
            <w:r w:rsidRPr="002573A2">
              <w:rPr>
                <w:rFonts w:ascii="Arial Narrow" w:eastAsia="Times New Roman" w:hAnsi="Arial Narrow" w:cs="Calibri"/>
                <w:color w:val="FFFFFF"/>
                <w:sz w:val="20"/>
                <w:szCs w:val="20"/>
                <w:lang w:eastAsia="es-ES_tradnl"/>
              </w:rPr>
              <w:t>Estimación de tasa de empleo SIPA</w:t>
            </w:r>
            <w:r w:rsidR="001F4F27">
              <w:rPr>
                <w:rFonts w:ascii="Arial Narrow" w:eastAsia="Times New Roman" w:hAnsi="Arial Narrow" w:cs="Calibri"/>
                <w:color w:val="FFFFFF"/>
                <w:sz w:val="20"/>
                <w:szCs w:val="20"/>
                <w:lang w:eastAsia="es-ES_tradnl"/>
              </w:rPr>
              <w:t>**</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dic-15</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12.018.956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30,1%</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ene-16*</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11.960.091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29,9%</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feb-16*</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11.961.281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29,9%</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mar-16*</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11.959.552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29,9%</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abr-16*</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11.932.769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29,8%</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may-16*</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11.926.793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29,7%</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jun-16*</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11.956.067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29,8%</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jul-16*</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11.946.721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29,7%</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ago-16*</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11.969.849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29,8%</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sep-16*</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11.987.986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29,8%</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oct-16*</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12.035.766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29,9%</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nov-16*</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12.074.862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30,0%</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dic-16*</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12.090.763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30,0%</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573A2" w:rsidRPr="002573A2" w:rsidRDefault="002573A2" w:rsidP="000E0F5A">
            <w:pPr>
              <w:spacing w:after="0" w:line="240" w:lineRule="auto"/>
              <w:jc w:val="center"/>
              <w:rPr>
                <w:rFonts w:ascii="Arial Narrow" w:eastAsia="Times New Roman" w:hAnsi="Arial Narrow" w:cs="Calibri"/>
                <w:sz w:val="20"/>
                <w:szCs w:val="20"/>
                <w:lang w:eastAsia="es-ES_tradnl"/>
              </w:rPr>
            </w:pPr>
            <w:r w:rsidRPr="002573A2">
              <w:rPr>
                <w:rFonts w:ascii="Arial Narrow" w:eastAsia="Times New Roman" w:hAnsi="Arial Narrow" w:cs="Calibri"/>
                <w:sz w:val="20"/>
                <w:szCs w:val="20"/>
                <w:lang w:eastAsia="es-ES_tradnl"/>
              </w:rPr>
              <w:t>ene-17*</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 xml:space="preserve">          12.047.084   </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2573A2">
            <w:pPr>
              <w:spacing w:after="0" w:line="240" w:lineRule="auto"/>
              <w:jc w:val="right"/>
              <w:rPr>
                <w:rFonts w:ascii="Arial Narrow" w:eastAsia="Times New Roman" w:hAnsi="Arial Narrow" w:cs="Calibri"/>
                <w:color w:val="000000"/>
                <w:sz w:val="20"/>
                <w:szCs w:val="20"/>
                <w:lang w:eastAsia="es-ES_tradnl"/>
              </w:rPr>
            </w:pPr>
            <w:r w:rsidRPr="002573A2">
              <w:rPr>
                <w:rFonts w:ascii="Arial Narrow" w:eastAsia="Times New Roman" w:hAnsi="Arial Narrow" w:cs="Calibri"/>
                <w:color w:val="000000"/>
                <w:sz w:val="20"/>
                <w:szCs w:val="20"/>
                <w:lang w:eastAsia="es-ES_tradnl"/>
              </w:rPr>
              <w:t>29,8%</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573A2" w:rsidRPr="002573A2" w:rsidRDefault="002573A2" w:rsidP="000E0F5A">
            <w:pPr>
              <w:spacing w:after="0" w:line="240" w:lineRule="auto"/>
              <w:jc w:val="center"/>
              <w:rPr>
                <w:rFonts w:ascii="Arial Narrow" w:eastAsia="Times New Roman" w:hAnsi="Arial Narrow" w:cs="Calibri"/>
                <w:b/>
                <w:bCs/>
                <w:color w:val="000000"/>
                <w:sz w:val="20"/>
                <w:szCs w:val="20"/>
                <w:lang w:eastAsia="es-ES_tradnl"/>
              </w:rPr>
            </w:pPr>
            <w:r w:rsidRPr="002573A2">
              <w:rPr>
                <w:rFonts w:ascii="Arial Narrow" w:eastAsia="Times New Roman" w:hAnsi="Arial Narrow" w:cs="Calibri"/>
                <w:b/>
                <w:bCs/>
                <w:color w:val="000000"/>
                <w:sz w:val="20"/>
                <w:szCs w:val="20"/>
                <w:lang w:eastAsia="es-ES_tradnl"/>
              </w:rPr>
              <w:t>Dic 16 - Dic 15</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3A7A94">
            <w:pPr>
              <w:spacing w:after="0" w:line="240" w:lineRule="auto"/>
              <w:jc w:val="center"/>
              <w:rPr>
                <w:rFonts w:ascii="Arial Narrow" w:eastAsia="Times New Roman" w:hAnsi="Arial Narrow" w:cs="Calibri"/>
                <w:b/>
                <w:bCs/>
                <w:color w:val="000000"/>
                <w:sz w:val="20"/>
                <w:szCs w:val="20"/>
                <w:lang w:eastAsia="es-ES_tradnl"/>
              </w:rPr>
            </w:pPr>
            <w:r w:rsidRPr="002573A2">
              <w:rPr>
                <w:rFonts w:ascii="Arial Narrow" w:eastAsia="Times New Roman" w:hAnsi="Arial Narrow" w:cs="Calibri"/>
                <w:b/>
                <w:bCs/>
                <w:color w:val="000000"/>
                <w:sz w:val="20"/>
                <w:szCs w:val="20"/>
                <w:lang w:eastAsia="es-ES_tradnl"/>
              </w:rPr>
              <w:t>71.807</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3A7A94">
            <w:pPr>
              <w:spacing w:after="0" w:line="240" w:lineRule="auto"/>
              <w:jc w:val="center"/>
              <w:rPr>
                <w:rFonts w:ascii="Arial Narrow" w:eastAsia="Times New Roman" w:hAnsi="Arial Narrow" w:cs="Calibri"/>
                <w:b/>
                <w:bCs/>
                <w:color w:val="000000"/>
                <w:sz w:val="20"/>
                <w:szCs w:val="20"/>
                <w:lang w:eastAsia="es-ES_tradnl"/>
              </w:rPr>
            </w:pPr>
            <w:r w:rsidRPr="002573A2">
              <w:rPr>
                <w:rFonts w:ascii="Arial Narrow" w:eastAsia="Times New Roman" w:hAnsi="Arial Narrow" w:cs="Calibri"/>
                <w:b/>
                <w:bCs/>
                <w:color w:val="000000"/>
                <w:sz w:val="20"/>
                <w:szCs w:val="20"/>
                <w:lang w:eastAsia="es-ES_tradnl"/>
              </w:rPr>
              <w:t>-0,5%</w:t>
            </w:r>
          </w:p>
        </w:tc>
      </w:tr>
      <w:tr w:rsidR="002573A2" w:rsidRPr="002573A2" w:rsidTr="005923A5">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573A2" w:rsidRPr="002573A2" w:rsidRDefault="002573A2" w:rsidP="000E0F5A">
            <w:pPr>
              <w:spacing w:after="0" w:line="240" w:lineRule="auto"/>
              <w:jc w:val="center"/>
              <w:rPr>
                <w:rFonts w:ascii="Arial Narrow" w:eastAsia="Times New Roman" w:hAnsi="Arial Narrow" w:cs="Calibri"/>
                <w:b/>
                <w:bCs/>
                <w:color w:val="000000"/>
                <w:sz w:val="20"/>
                <w:szCs w:val="20"/>
                <w:lang w:eastAsia="es-ES_tradnl"/>
              </w:rPr>
            </w:pPr>
            <w:r w:rsidRPr="002573A2">
              <w:rPr>
                <w:rFonts w:ascii="Arial Narrow" w:eastAsia="Times New Roman" w:hAnsi="Arial Narrow" w:cs="Calibri"/>
                <w:b/>
                <w:bCs/>
                <w:color w:val="000000"/>
                <w:sz w:val="20"/>
                <w:szCs w:val="20"/>
                <w:lang w:eastAsia="es-ES_tradnl"/>
              </w:rPr>
              <w:t>Durante enero</w:t>
            </w:r>
          </w:p>
        </w:tc>
        <w:tc>
          <w:tcPr>
            <w:tcW w:w="1480" w:type="dxa"/>
            <w:tcBorders>
              <w:top w:val="nil"/>
              <w:left w:val="nil"/>
              <w:bottom w:val="single" w:sz="4" w:space="0" w:color="auto"/>
              <w:right w:val="single" w:sz="4" w:space="0" w:color="auto"/>
            </w:tcBorders>
            <w:shd w:val="clear" w:color="auto" w:fill="auto"/>
            <w:noWrap/>
            <w:vAlign w:val="bottom"/>
            <w:hideMark/>
          </w:tcPr>
          <w:p w:rsidR="002573A2" w:rsidRPr="002573A2" w:rsidRDefault="003A7A94" w:rsidP="003A7A94">
            <w:pPr>
              <w:spacing w:after="0" w:line="240" w:lineRule="auto"/>
              <w:jc w:val="center"/>
              <w:rPr>
                <w:rFonts w:ascii="Arial Narrow" w:eastAsia="Times New Roman" w:hAnsi="Arial Narrow" w:cs="Calibri"/>
                <w:b/>
                <w:bCs/>
                <w:color w:val="000000"/>
                <w:sz w:val="20"/>
                <w:szCs w:val="20"/>
                <w:lang w:eastAsia="es-ES_tradnl"/>
              </w:rPr>
            </w:pPr>
            <w:r>
              <w:rPr>
                <w:rFonts w:ascii="Arial Narrow" w:eastAsia="Times New Roman" w:hAnsi="Arial Narrow" w:cs="Calibri"/>
                <w:b/>
                <w:bCs/>
                <w:color w:val="000000"/>
                <w:sz w:val="20"/>
                <w:szCs w:val="20"/>
                <w:lang w:eastAsia="es-ES_tradnl"/>
              </w:rPr>
              <w:t>-</w:t>
            </w:r>
            <w:r w:rsidR="002573A2" w:rsidRPr="002573A2">
              <w:rPr>
                <w:rFonts w:ascii="Arial Narrow" w:eastAsia="Times New Roman" w:hAnsi="Arial Narrow" w:cs="Calibri"/>
                <w:b/>
                <w:bCs/>
                <w:color w:val="000000"/>
                <w:sz w:val="20"/>
                <w:szCs w:val="20"/>
                <w:lang w:eastAsia="es-ES_tradnl"/>
              </w:rPr>
              <w:t xml:space="preserve">  43.679</w:t>
            </w:r>
          </w:p>
        </w:tc>
        <w:tc>
          <w:tcPr>
            <w:tcW w:w="1200" w:type="dxa"/>
            <w:tcBorders>
              <w:top w:val="nil"/>
              <w:left w:val="nil"/>
              <w:bottom w:val="single" w:sz="4" w:space="0" w:color="auto"/>
              <w:right w:val="single" w:sz="4" w:space="0" w:color="auto"/>
            </w:tcBorders>
            <w:shd w:val="clear" w:color="auto" w:fill="auto"/>
            <w:noWrap/>
            <w:vAlign w:val="bottom"/>
            <w:hideMark/>
          </w:tcPr>
          <w:p w:rsidR="002573A2" w:rsidRPr="002573A2" w:rsidRDefault="002573A2" w:rsidP="003A7A94">
            <w:pPr>
              <w:spacing w:after="0" w:line="240" w:lineRule="auto"/>
              <w:jc w:val="center"/>
              <w:rPr>
                <w:rFonts w:ascii="Arial Narrow" w:eastAsia="Times New Roman" w:hAnsi="Arial Narrow" w:cs="Calibri"/>
                <w:b/>
                <w:bCs/>
                <w:color w:val="000000"/>
                <w:sz w:val="20"/>
                <w:szCs w:val="20"/>
                <w:lang w:eastAsia="es-ES_tradnl"/>
              </w:rPr>
            </w:pPr>
            <w:r w:rsidRPr="002573A2">
              <w:rPr>
                <w:rFonts w:ascii="Arial Narrow" w:eastAsia="Times New Roman" w:hAnsi="Arial Narrow" w:cs="Calibri"/>
                <w:b/>
                <w:bCs/>
                <w:color w:val="000000"/>
                <w:sz w:val="20"/>
                <w:szCs w:val="20"/>
                <w:lang w:eastAsia="es-ES_tradnl"/>
              </w:rPr>
              <w:t>-0,5%</w:t>
            </w:r>
          </w:p>
        </w:tc>
      </w:tr>
    </w:tbl>
    <w:p w:rsidR="001F4F27" w:rsidRDefault="001F4F27" w:rsidP="00E024F3">
      <w:pPr>
        <w:jc w:val="center"/>
        <w:rPr>
          <w:sz w:val="20"/>
          <w:szCs w:val="20"/>
        </w:rPr>
      </w:pPr>
      <w:r>
        <w:rPr>
          <w:sz w:val="20"/>
          <w:szCs w:val="20"/>
        </w:rPr>
        <w:t>*</w:t>
      </w:r>
      <w:r w:rsidRPr="001F4F27">
        <w:t xml:space="preserve"> </w:t>
      </w:r>
      <w:r w:rsidRPr="001F4F27">
        <w:rPr>
          <w:sz w:val="20"/>
          <w:szCs w:val="20"/>
        </w:rPr>
        <w:t>Los datos tienen carácter provisorio</w:t>
      </w:r>
    </w:p>
    <w:p w:rsidR="001F3ADB" w:rsidRDefault="001F4F27" w:rsidP="00E024F3">
      <w:pPr>
        <w:jc w:val="center"/>
        <w:rPr>
          <w:sz w:val="20"/>
          <w:szCs w:val="20"/>
        </w:rPr>
      </w:pPr>
      <w:r>
        <w:rPr>
          <w:sz w:val="20"/>
          <w:szCs w:val="20"/>
        </w:rPr>
        <w:t>*</w:t>
      </w:r>
      <w:r w:rsidR="00E024F3" w:rsidRPr="00E024F3">
        <w:rPr>
          <w:sz w:val="20"/>
          <w:szCs w:val="20"/>
        </w:rPr>
        <w:t>*La estimación de la tasa de empleo registrado es una elaboración propia con el fin de generar un indicador comprable con las tasas del mercado laboral de la EPH. La utilidad de la misma radica en la posibilidad de medir vis a vis el crecimiento del empleo respecto a</w:t>
      </w:r>
      <w:r w:rsidR="00E024F3">
        <w:rPr>
          <w:sz w:val="20"/>
          <w:szCs w:val="20"/>
        </w:rPr>
        <w:t>l crecimiento demográfico (aumento de la población urbana).</w:t>
      </w:r>
    </w:p>
    <w:p w:rsidR="002573A2" w:rsidRDefault="002573A2" w:rsidP="002573A2">
      <w:pPr>
        <w:jc w:val="both"/>
        <w:rPr>
          <w:sz w:val="20"/>
          <w:szCs w:val="20"/>
        </w:rPr>
      </w:pPr>
    </w:p>
    <w:p w:rsidR="002573A2" w:rsidRDefault="002573A2" w:rsidP="00E024F3">
      <w:pPr>
        <w:jc w:val="center"/>
        <w:rPr>
          <w:sz w:val="20"/>
          <w:szCs w:val="20"/>
        </w:rPr>
      </w:pPr>
      <w:r w:rsidRPr="002573A2">
        <w:rPr>
          <w:noProof/>
          <w:sz w:val="20"/>
          <w:szCs w:val="20"/>
          <w:lang w:val="es-AR" w:eastAsia="es-AR"/>
        </w:rPr>
        <w:drawing>
          <wp:inline distT="0" distB="0" distL="0" distR="0">
            <wp:extent cx="4572000" cy="2743200"/>
            <wp:effectExtent l="19050" t="0" r="19050"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0F5A" w:rsidRDefault="000E0F5A" w:rsidP="00E024F3">
      <w:pPr>
        <w:jc w:val="center"/>
        <w:rPr>
          <w:sz w:val="20"/>
          <w:szCs w:val="20"/>
        </w:rPr>
      </w:pPr>
    </w:p>
    <w:p w:rsidR="000E0F5A" w:rsidRDefault="000E0F5A" w:rsidP="00E024F3">
      <w:pPr>
        <w:jc w:val="center"/>
        <w:rPr>
          <w:sz w:val="20"/>
          <w:szCs w:val="20"/>
        </w:rPr>
      </w:pPr>
    </w:p>
    <w:p w:rsidR="000E0F5A" w:rsidRPr="000B2C1B" w:rsidRDefault="000E0F5A" w:rsidP="000E0F5A">
      <w:pPr>
        <w:pStyle w:val="Prrafodelista"/>
        <w:numPr>
          <w:ilvl w:val="0"/>
          <w:numId w:val="1"/>
        </w:numPr>
        <w:jc w:val="both"/>
        <w:rPr>
          <w:i/>
          <w:u w:val="single"/>
        </w:rPr>
      </w:pPr>
      <w:r w:rsidRPr="000B2C1B">
        <w:rPr>
          <w:i/>
          <w:u w:val="single"/>
        </w:rPr>
        <w:t>Cambio en la composición del empleo</w:t>
      </w:r>
    </w:p>
    <w:p w:rsidR="002B6C0D" w:rsidRDefault="002B6C0D" w:rsidP="00357CCF">
      <w:pPr>
        <w:jc w:val="both"/>
      </w:pPr>
      <w:r>
        <w:t xml:space="preserve">Del primer punto queda claro </w:t>
      </w:r>
      <w:r w:rsidR="00F60D7D">
        <w:t xml:space="preserve">entonces </w:t>
      </w:r>
      <w:r>
        <w:t xml:space="preserve">que el nivel general del  empleo está estancado, o para ser </w:t>
      </w:r>
      <w:r w:rsidR="00F60D7D">
        <w:t xml:space="preserve">más </w:t>
      </w:r>
      <w:r>
        <w:t xml:space="preserve">precisos </w:t>
      </w:r>
      <w:r w:rsidR="00F60D7D">
        <w:t>denota</w:t>
      </w:r>
      <w:r>
        <w:t xml:space="preserve"> una leve caída. Sin embargo, la composición del mismo ha sufrido cambios importantes </w:t>
      </w:r>
      <w:r w:rsidR="00F60D7D">
        <w:t xml:space="preserve">según lo verificado en </w:t>
      </w:r>
      <w:r>
        <w:t>las dos fuentes disponibles:</w:t>
      </w:r>
    </w:p>
    <w:p w:rsidR="002B6C0D" w:rsidRDefault="00906FB2" w:rsidP="002B6C0D">
      <w:pPr>
        <w:pStyle w:val="Prrafodelista"/>
        <w:numPr>
          <w:ilvl w:val="0"/>
          <w:numId w:val="3"/>
        </w:numPr>
        <w:jc w:val="both"/>
      </w:pPr>
      <w:r>
        <w:t xml:space="preserve">Según la EPH. </w:t>
      </w:r>
      <w:r w:rsidRPr="00906FB2">
        <w:rPr>
          <w:b/>
        </w:rPr>
        <w:t>Más informalidad laboral y mayor cuentapropismo</w:t>
      </w:r>
      <w:r>
        <w:t>.</w:t>
      </w:r>
      <w:r w:rsidR="00FF5CDF">
        <w:t xml:space="preserve"> </w:t>
      </w:r>
      <w:r w:rsidR="002B6C0D">
        <w:t>Al no dis</w:t>
      </w:r>
      <w:r w:rsidR="00F60D7D">
        <w:t>poner de los cuartos trimestres, no es posible acceder al análisis durante el año calendario. De todos modos, comp</w:t>
      </w:r>
      <w:r>
        <w:t>a</w:t>
      </w:r>
      <w:r w:rsidR="00F60D7D">
        <w:t xml:space="preserve">rando el II trimestre 2016 en relación al mismo período del 2015 surge que </w:t>
      </w:r>
      <w:r w:rsidR="001D5A6E">
        <w:t>mientras el empleo asalariado registrado cayó, el informal aument</w:t>
      </w:r>
      <w:r>
        <w:t>ó</w:t>
      </w:r>
      <w:r w:rsidR="001D5A6E">
        <w:t xml:space="preserve"> en más del doble que la caída del primero. La comparación de este período, a diferencia del IV 2016 vs. III 2015</w:t>
      </w:r>
      <w:r w:rsidR="00D707D3">
        <w:t>, da como resultado un aumento del total de ocupados en 269 mil. Conviene señalar que la mayor parte de la reducción de los empleos asalariados registradas obedece a una retracción de los contratos por tiempo determinado.</w:t>
      </w:r>
      <w:r w:rsidR="001D5A6E">
        <w:t xml:space="preserve"> </w:t>
      </w:r>
      <w:r w:rsidR="002B6C0D">
        <w:t xml:space="preserve"> </w:t>
      </w:r>
      <w:r w:rsidR="00656CF6">
        <w:t xml:space="preserve">Adicionando al universo de ocupados, la mayor cantidad de desocupados y </w:t>
      </w:r>
      <w:r w:rsidR="000747F0">
        <w:t xml:space="preserve">la </w:t>
      </w:r>
      <w:r w:rsidR="00656CF6">
        <w:t xml:space="preserve">incidencia de la precarización por ingresos laborales que no superan el SMVM, surge entonces que la precarización aumentó en más de 1,1 millones de trabajadores (en esta estimación se </w:t>
      </w:r>
      <w:r w:rsidR="007174C3">
        <w:t>sobrerepresenta</w:t>
      </w:r>
      <w:r w:rsidR="00656CF6">
        <w:t xml:space="preserve"> la suba en la desocupación ya que se toma el nivel del desempleo subestimado del INDEC intervenido del 2015).</w:t>
      </w:r>
    </w:p>
    <w:p w:rsidR="000B2C1B" w:rsidRDefault="000B2C1B" w:rsidP="000B2C1B">
      <w:pPr>
        <w:pStyle w:val="Prrafodelista"/>
        <w:jc w:val="both"/>
      </w:pPr>
    </w:p>
    <w:p w:rsidR="000B2C1B" w:rsidRDefault="000B2C1B" w:rsidP="002B6C0D">
      <w:pPr>
        <w:pStyle w:val="Prrafodelista"/>
        <w:numPr>
          <w:ilvl w:val="0"/>
          <w:numId w:val="3"/>
        </w:numPr>
        <w:jc w:val="both"/>
      </w:pPr>
      <w:r>
        <w:t>Según el SIPA:</w:t>
      </w:r>
      <w:r w:rsidR="00E21261">
        <w:t xml:space="preserve"> </w:t>
      </w:r>
      <w:r w:rsidR="002B4B68" w:rsidRPr="002B4B68">
        <w:rPr>
          <w:b/>
        </w:rPr>
        <w:t xml:space="preserve">Caída del empleo privado y el público nacional en el marco de una </w:t>
      </w:r>
      <w:r w:rsidR="002B4B68">
        <w:t>m</w:t>
      </w:r>
      <w:r w:rsidR="00A54869" w:rsidRPr="00FA29E9">
        <w:rPr>
          <w:b/>
        </w:rPr>
        <w:t xml:space="preserve">ayor informalidad laboral vía </w:t>
      </w:r>
      <w:r w:rsidR="00666498" w:rsidRPr="00FA29E9">
        <w:rPr>
          <w:b/>
        </w:rPr>
        <w:t xml:space="preserve">contratación fraudulenta </w:t>
      </w:r>
      <w:r w:rsidR="00FA29E9" w:rsidRPr="00FA29E9">
        <w:rPr>
          <w:b/>
        </w:rPr>
        <w:t xml:space="preserve">por </w:t>
      </w:r>
      <w:r w:rsidR="00FA29E9">
        <w:rPr>
          <w:b/>
        </w:rPr>
        <w:t>la figura del</w:t>
      </w:r>
      <w:r w:rsidR="00FA29E9" w:rsidRPr="00FA29E9">
        <w:rPr>
          <w:b/>
        </w:rPr>
        <w:t xml:space="preserve"> monotributo</w:t>
      </w:r>
      <w:r w:rsidR="005D3FAC">
        <w:rPr>
          <w:b/>
        </w:rPr>
        <w:t xml:space="preserve"> (incluyendo el social)</w:t>
      </w:r>
      <w:r w:rsidR="00FA29E9" w:rsidRPr="00FA29E9">
        <w:rPr>
          <w:b/>
        </w:rPr>
        <w:t xml:space="preserve"> y aumento de empleo público provincial y municipal</w:t>
      </w:r>
      <w:r w:rsidR="00FA29E9">
        <w:t>.</w:t>
      </w:r>
      <w:r w:rsidR="00FB6485">
        <w:t xml:space="preserve"> El aumento en la cantidad de trabajadores registrados durante el año 2016 fue de 70 mil aproximadamente (como se señaló en el primer punto este aumento, de todos modos, implica una caída en la tasa)</w:t>
      </w:r>
      <w:r w:rsidR="006F680D">
        <w:t xml:space="preserve">. Este saldo fue el resultado de trayectorias </w:t>
      </w:r>
      <w:r w:rsidR="002B4B68">
        <w:t>heterogéneas de las categorías consideradas</w:t>
      </w:r>
      <w:r w:rsidR="005D3FAC">
        <w:t xml:space="preserve"> por el SIPA</w:t>
      </w:r>
      <w:r w:rsidR="002B4B68">
        <w:t>. Se destaca</w:t>
      </w:r>
      <w:r w:rsidR="005D3FAC">
        <w:t xml:space="preserve"> el retroceso del nivel de empleo en la categoría de</w:t>
      </w:r>
      <w:r w:rsidR="00B32796">
        <w:t xml:space="preserve"> los</w:t>
      </w:r>
      <w:r w:rsidR="005D3FAC">
        <w:t xml:space="preserve"> asalariados registrados  (-46 mil) y el aumento de los monotributistas (+38 mil), los sociales (+28 mil) y asalariados públicos (+29 mil</w:t>
      </w:r>
      <w:r w:rsidR="006C63AA">
        <w:t xml:space="preserve">). Sin embargo, las dinámicas al interior del sector público también revisten notables disparidades: mientras el sector público nacional </w:t>
      </w:r>
      <w:r w:rsidR="00332919">
        <w:t xml:space="preserve">verificó una caída de -1.400 puestos de trabajo, el sector provincial y municipal revirtió </w:t>
      </w:r>
      <w:r w:rsidR="00F51EDB">
        <w:t xml:space="preserve">esta tendencia </w:t>
      </w:r>
      <w:r w:rsidR="00623AF8">
        <w:t>contribuyendo</w:t>
      </w:r>
      <w:r w:rsidR="00F51EDB">
        <w:t xml:space="preserve"> con un aumento de </w:t>
      </w:r>
      <w:r w:rsidR="00623AF8">
        <w:t>21.600 y 10.700 correspondientemente.</w:t>
      </w:r>
    </w:p>
    <w:p w:rsidR="00D32765" w:rsidRDefault="00D32765" w:rsidP="00D32765">
      <w:pPr>
        <w:pStyle w:val="Prrafodelista"/>
      </w:pPr>
    </w:p>
    <w:p w:rsidR="00D32765" w:rsidRDefault="002F6A47" w:rsidP="002B6C0D">
      <w:pPr>
        <w:pStyle w:val="Prrafodelista"/>
        <w:numPr>
          <w:ilvl w:val="0"/>
          <w:numId w:val="3"/>
        </w:numPr>
        <w:jc w:val="both"/>
      </w:pPr>
      <w:r>
        <w:t>Durante el</w:t>
      </w:r>
      <w:r w:rsidR="00D32765">
        <w:t xml:space="preserve"> mes de Enero</w:t>
      </w:r>
      <w:r>
        <w:t xml:space="preserve"> 2017</w:t>
      </w:r>
      <w:r w:rsidR="00D32765">
        <w:t>, en materia de empleo registrado,</w:t>
      </w:r>
      <w:r>
        <w:t xml:space="preserve"> se</w:t>
      </w:r>
      <w:r w:rsidR="00D32765">
        <w:t xml:space="preserve"> </w:t>
      </w:r>
      <w:r w:rsidR="00F802CE">
        <w:t xml:space="preserve">revierte por completo la tendencia descripta. </w:t>
      </w:r>
      <w:r>
        <w:t>Si bien h</w:t>
      </w:r>
      <w:r w:rsidR="00F802CE">
        <w:t xml:space="preserve">abrá que esperar </w:t>
      </w:r>
      <w:r w:rsidR="001A6B9E">
        <w:t>los meses consecutivos, hasta el momento, se observa un desplome en la cantidad de puestos de trabajo del sector público (-50 mil) y un aumento de poco más de 11 mil en el empleo registrado del sector privado.</w:t>
      </w:r>
    </w:p>
    <w:p w:rsidR="002F6A47" w:rsidRDefault="002F6A47" w:rsidP="00357CCF">
      <w:pPr>
        <w:jc w:val="both"/>
      </w:pPr>
    </w:p>
    <w:p w:rsidR="002F6A47" w:rsidRDefault="002F6A47" w:rsidP="00357CCF">
      <w:pPr>
        <w:jc w:val="both"/>
      </w:pPr>
    </w:p>
    <w:p w:rsidR="002F6A47" w:rsidRDefault="002F6A47" w:rsidP="00357CCF">
      <w:pPr>
        <w:jc w:val="both"/>
      </w:pPr>
    </w:p>
    <w:p w:rsidR="002F6A47" w:rsidRDefault="002F6A47" w:rsidP="00357CCF">
      <w:pPr>
        <w:jc w:val="both"/>
      </w:pPr>
    </w:p>
    <w:p w:rsidR="002B6C0D" w:rsidRDefault="00E61111" w:rsidP="00357CCF">
      <w:pPr>
        <w:jc w:val="both"/>
      </w:pPr>
      <w:r>
        <w:t>Cuadro: Evolución de los ocupados según categoría ocupacional. 2015 – 2016.</w:t>
      </w:r>
    </w:p>
    <w:tbl>
      <w:tblPr>
        <w:tblW w:w="6437" w:type="dxa"/>
        <w:jc w:val="center"/>
        <w:tblCellMar>
          <w:left w:w="70" w:type="dxa"/>
          <w:right w:w="70" w:type="dxa"/>
        </w:tblCellMar>
        <w:tblLook w:val="04A0"/>
      </w:tblPr>
      <w:tblGrid>
        <w:gridCol w:w="2557"/>
        <w:gridCol w:w="1200"/>
        <w:gridCol w:w="1480"/>
        <w:gridCol w:w="1200"/>
      </w:tblGrid>
      <w:tr w:rsidR="00E616FA" w:rsidRPr="00E616FA" w:rsidTr="000B2C39">
        <w:trPr>
          <w:trHeight w:val="255"/>
          <w:jc w:val="center"/>
        </w:trPr>
        <w:tc>
          <w:tcPr>
            <w:tcW w:w="2557"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E616FA" w:rsidRPr="00E616FA" w:rsidRDefault="00E616FA" w:rsidP="00E616FA">
            <w:pPr>
              <w:spacing w:after="0" w:line="240" w:lineRule="auto"/>
              <w:rPr>
                <w:rFonts w:ascii="Arial Narrow" w:eastAsia="Times New Roman" w:hAnsi="Arial Narrow" w:cs="Calibri"/>
                <w:color w:val="FFFFFF"/>
                <w:sz w:val="20"/>
                <w:szCs w:val="20"/>
                <w:lang w:eastAsia="es-ES_tradnl"/>
              </w:rPr>
            </w:pPr>
            <w:r w:rsidRPr="00E616FA">
              <w:rPr>
                <w:rFonts w:ascii="Arial Narrow" w:eastAsia="Times New Roman" w:hAnsi="Arial Narrow" w:cs="Calibri"/>
                <w:color w:val="FFFFFF"/>
                <w:sz w:val="20"/>
                <w:szCs w:val="20"/>
                <w:lang w:eastAsia="es-ES_tradnl"/>
              </w:rPr>
              <w:t> </w:t>
            </w:r>
          </w:p>
        </w:tc>
        <w:tc>
          <w:tcPr>
            <w:tcW w:w="1200" w:type="dxa"/>
            <w:tcBorders>
              <w:top w:val="single" w:sz="4" w:space="0" w:color="auto"/>
              <w:left w:val="nil"/>
              <w:bottom w:val="single" w:sz="4" w:space="0" w:color="auto"/>
              <w:right w:val="single" w:sz="4" w:space="0" w:color="auto"/>
            </w:tcBorders>
            <w:shd w:val="clear" w:color="000000" w:fill="0070C0"/>
            <w:noWrap/>
            <w:vAlign w:val="bottom"/>
            <w:hideMark/>
          </w:tcPr>
          <w:p w:rsidR="00E616FA" w:rsidRPr="00E616FA" w:rsidRDefault="00E616FA" w:rsidP="00E616FA">
            <w:pPr>
              <w:spacing w:after="0" w:line="240" w:lineRule="auto"/>
              <w:rPr>
                <w:rFonts w:ascii="Arial Narrow" w:eastAsia="Times New Roman" w:hAnsi="Arial Narrow" w:cs="Calibri"/>
                <w:color w:val="FFFFFF"/>
                <w:sz w:val="20"/>
                <w:szCs w:val="20"/>
                <w:lang w:eastAsia="es-ES_tradnl"/>
              </w:rPr>
            </w:pPr>
            <w:r w:rsidRPr="00E616FA">
              <w:rPr>
                <w:rFonts w:ascii="Arial Narrow" w:eastAsia="Times New Roman" w:hAnsi="Arial Narrow" w:cs="Calibri"/>
                <w:color w:val="FFFFFF"/>
                <w:sz w:val="20"/>
                <w:szCs w:val="20"/>
                <w:lang w:eastAsia="es-ES_tradnl"/>
              </w:rPr>
              <w:t>II Trim 2015</w:t>
            </w:r>
          </w:p>
        </w:tc>
        <w:tc>
          <w:tcPr>
            <w:tcW w:w="1480" w:type="dxa"/>
            <w:tcBorders>
              <w:top w:val="single" w:sz="4" w:space="0" w:color="auto"/>
              <w:left w:val="nil"/>
              <w:bottom w:val="single" w:sz="4" w:space="0" w:color="auto"/>
              <w:right w:val="single" w:sz="4" w:space="0" w:color="auto"/>
            </w:tcBorders>
            <w:shd w:val="clear" w:color="000000" w:fill="0070C0"/>
            <w:noWrap/>
            <w:vAlign w:val="bottom"/>
            <w:hideMark/>
          </w:tcPr>
          <w:p w:rsidR="00E616FA" w:rsidRPr="00E616FA" w:rsidRDefault="00E616FA" w:rsidP="00E616FA">
            <w:pPr>
              <w:spacing w:after="0" w:line="240" w:lineRule="auto"/>
              <w:rPr>
                <w:rFonts w:ascii="Arial Narrow" w:eastAsia="Times New Roman" w:hAnsi="Arial Narrow" w:cs="Calibri"/>
                <w:color w:val="FFFFFF"/>
                <w:sz w:val="20"/>
                <w:szCs w:val="20"/>
                <w:lang w:eastAsia="es-ES_tradnl"/>
              </w:rPr>
            </w:pPr>
            <w:r w:rsidRPr="00E616FA">
              <w:rPr>
                <w:rFonts w:ascii="Arial Narrow" w:eastAsia="Times New Roman" w:hAnsi="Arial Narrow" w:cs="Calibri"/>
                <w:color w:val="FFFFFF"/>
                <w:sz w:val="20"/>
                <w:szCs w:val="20"/>
                <w:lang w:eastAsia="es-ES_tradnl"/>
              </w:rPr>
              <w:t>II Trim 2016</w:t>
            </w:r>
          </w:p>
        </w:tc>
        <w:tc>
          <w:tcPr>
            <w:tcW w:w="1200" w:type="dxa"/>
            <w:tcBorders>
              <w:top w:val="single" w:sz="4" w:space="0" w:color="auto"/>
              <w:left w:val="nil"/>
              <w:bottom w:val="single" w:sz="4" w:space="0" w:color="auto"/>
              <w:right w:val="single" w:sz="4" w:space="0" w:color="auto"/>
            </w:tcBorders>
            <w:shd w:val="clear" w:color="000000" w:fill="0070C0"/>
            <w:noWrap/>
            <w:vAlign w:val="bottom"/>
            <w:hideMark/>
          </w:tcPr>
          <w:p w:rsidR="00E616FA" w:rsidRPr="00E616FA" w:rsidRDefault="00E616FA" w:rsidP="00E616FA">
            <w:pPr>
              <w:spacing w:after="0" w:line="240" w:lineRule="auto"/>
              <w:rPr>
                <w:rFonts w:ascii="Arial Narrow" w:eastAsia="Times New Roman" w:hAnsi="Arial Narrow" w:cs="Calibri"/>
                <w:color w:val="FFFFFF"/>
                <w:sz w:val="20"/>
                <w:szCs w:val="20"/>
                <w:lang w:eastAsia="es-ES_tradnl"/>
              </w:rPr>
            </w:pPr>
            <w:r w:rsidRPr="00E616FA">
              <w:rPr>
                <w:rFonts w:ascii="Arial Narrow" w:eastAsia="Times New Roman" w:hAnsi="Arial Narrow" w:cs="Calibri"/>
                <w:color w:val="FFFFFF"/>
                <w:sz w:val="20"/>
                <w:szCs w:val="20"/>
                <w:lang w:eastAsia="es-ES_tradnl"/>
              </w:rPr>
              <w:t>2015- 2015 (II)</w:t>
            </w:r>
          </w:p>
        </w:tc>
      </w:tr>
      <w:tr w:rsidR="00E616FA" w:rsidRPr="00E616FA" w:rsidTr="000B2C39">
        <w:trPr>
          <w:trHeight w:val="255"/>
          <w:jc w:val="center"/>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rPr>
                <w:rFonts w:ascii="Arial Narrow" w:eastAsia="Times New Roman" w:hAnsi="Arial Narrow" w:cs="Calibri"/>
                <w:color w:val="000000"/>
                <w:sz w:val="20"/>
                <w:szCs w:val="20"/>
                <w:lang w:eastAsia="es-ES_tradnl"/>
              </w:rPr>
            </w:pPr>
            <w:r w:rsidRPr="00E616FA">
              <w:rPr>
                <w:rFonts w:ascii="Arial Narrow" w:eastAsia="Times New Roman" w:hAnsi="Arial Narrow" w:cs="Calibri"/>
                <w:color w:val="000000"/>
                <w:sz w:val="20"/>
                <w:szCs w:val="20"/>
                <w:lang w:eastAsia="es-ES_tradnl"/>
              </w:rPr>
              <w:t>Patrones</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613.548</w:t>
            </w:r>
          </w:p>
        </w:tc>
        <w:tc>
          <w:tcPr>
            <w:tcW w:w="148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633.513</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19.965</w:t>
            </w:r>
          </w:p>
        </w:tc>
      </w:tr>
      <w:tr w:rsidR="00E616FA" w:rsidRPr="00E616FA" w:rsidTr="000B2C39">
        <w:trPr>
          <w:trHeight w:val="255"/>
          <w:jc w:val="center"/>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rPr>
                <w:rFonts w:ascii="Arial Narrow" w:eastAsia="Times New Roman" w:hAnsi="Arial Narrow" w:cs="Calibri"/>
                <w:color w:val="000000"/>
                <w:sz w:val="20"/>
                <w:szCs w:val="20"/>
                <w:lang w:eastAsia="es-ES_tradnl"/>
              </w:rPr>
            </w:pPr>
            <w:r w:rsidRPr="00E616FA">
              <w:rPr>
                <w:rFonts w:ascii="Arial Narrow" w:eastAsia="Times New Roman" w:hAnsi="Arial Narrow" w:cs="Calibri"/>
                <w:color w:val="000000"/>
                <w:sz w:val="20"/>
                <w:szCs w:val="20"/>
                <w:lang w:eastAsia="es-ES_tradnl"/>
              </w:rPr>
              <w:t>Cuenta Propia</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3.187.276</w:t>
            </w:r>
          </w:p>
        </w:tc>
        <w:tc>
          <w:tcPr>
            <w:tcW w:w="148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3.403.517</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216.241</w:t>
            </w:r>
          </w:p>
        </w:tc>
      </w:tr>
      <w:tr w:rsidR="00E616FA" w:rsidRPr="00E616FA" w:rsidTr="000B2C39">
        <w:trPr>
          <w:trHeight w:val="255"/>
          <w:jc w:val="center"/>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rPr>
                <w:rFonts w:ascii="Arial Narrow" w:eastAsia="Times New Roman" w:hAnsi="Arial Narrow" w:cs="Calibri"/>
                <w:color w:val="000000"/>
                <w:sz w:val="20"/>
                <w:szCs w:val="20"/>
                <w:lang w:eastAsia="es-ES_tradnl"/>
              </w:rPr>
            </w:pPr>
            <w:r w:rsidRPr="00E616FA">
              <w:rPr>
                <w:rFonts w:ascii="Arial Narrow" w:eastAsia="Times New Roman" w:hAnsi="Arial Narrow" w:cs="Calibri"/>
                <w:color w:val="000000"/>
                <w:sz w:val="20"/>
                <w:szCs w:val="20"/>
                <w:lang w:eastAsia="es-ES_tradnl"/>
              </w:rPr>
              <w:t>Asalariados Registrados</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8.418.549</w:t>
            </w:r>
          </w:p>
        </w:tc>
        <w:tc>
          <w:tcPr>
            <w:tcW w:w="148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8.393.116</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-25.434</w:t>
            </w:r>
          </w:p>
        </w:tc>
      </w:tr>
      <w:tr w:rsidR="00E616FA" w:rsidRPr="00E616FA" w:rsidTr="000B2C39">
        <w:trPr>
          <w:trHeight w:val="255"/>
          <w:jc w:val="center"/>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rPr>
                <w:rFonts w:ascii="Arial Narrow" w:eastAsia="Times New Roman" w:hAnsi="Arial Narrow" w:cs="Calibri"/>
                <w:color w:val="000000"/>
                <w:sz w:val="20"/>
                <w:szCs w:val="20"/>
                <w:lang w:eastAsia="es-ES_tradnl"/>
              </w:rPr>
            </w:pPr>
            <w:r w:rsidRPr="00E616FA">
              <w:rPr>
                <w:rFonts w:ascii="Arial Narrow" w:eastAsia="Times New Roman" w:hAnsi="Arial Narrow" w:cs="Calibri"/>
                <w:color w:val="000000"/>
                <w:sz w:val="20"/>
                <w:szCs w:val="20"/>
                <w:lang w:eastAsia="es-ES_tradnl"/>
              </w:rPr>
              <w:t>Asalariados No Registrados</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4.151.709</w:t>
            </w:r>
          </w:p>
        </w:tc>
        <w:tc>
          <w:tcPr>
            <w:tcW w:w="148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4.203.251</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51.542</w:t>
            </w:r>
          </w:p>
        </w:tc>
      </w:tr>
      <w:tr w:rsidR="00E616FA" w:rsidRPr="00E616FA" w:rsidTr="000B2C39">
        <w:trPr>
          <w:trHeight w:val="255"/>
          <w:jc w:val="center"/>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rPr>
                <w:rFonts w:ascii="Arial Narrow" w:eastAsia="Times New Roman" w:hAnsi="Arial Narrow" w:cs="Calibri"/>
                <w:color w:val="000000"/>
                <w:sz w:val="20"/>
                <w:szCs w:val="20"/>
                <w:lang w:eastAsia="es-ES_tradnl"/>
              </w:rPr>
            </w:pPr>
            <w:r w:rsidRPr="00E616FA">
              <w:rPr>
                <w:rFonts w:ascii="Arial Narrow" w:eastAsia="Times New Roman" w:hAnsi="Arial Narrow" w:cs="Calibri"/>
                <w:color w:val="000000"/>
                <w:sz w:val="20"/>
                <w:szCs w:val="20"/>
                <w:lang w:eastAsia="es-ES_tradnl"/>
              </w:rPr>
              <w:t>Asalariados Totales</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12.574.583</w:t>
            </w:r>
          </w:p>
        </w:tc>
        <w:tc>
          <w:tcPr>
            <w:tcW w:w="148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12.596.367</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21.784</w:t>
            </w:r>
          </w:p>
        </w:tc>
      </w:tr>
      <w:tr w:rsidR="00E616FA" w:rsidRPr="00E616FA" w:rsidTr="000B2C39">
        <w:trPr>
          <w:trHeight w:val="255"/>
          <w:jc w:val="center"/>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rPr>
                <w:rFonts w:ascii="Arial Narrow" w:eastAsia="Times New Roman" w:hAnsi="Arial Narrow" w:cs="Calibri"/>
                <w:color w:val="000000"/>
                <w:sz w:val="20"/>
                <w:szCs w:val="20"/>
                <w:lang w:eastAsia="es-ES_tradnl"/>
              </w:rPr>
            </w:pPr>
            <w:r w:rsidRPr="00E616FA">
              <w:rPr>
                <w:rFonts w:ascii="Arial Narrow" w:eastAsia="Times New Roman" w:hAnsi="Arial Narrow" w:cs="Calibri"/>
                <w:color w:val="000000"/>
                <w:sz w:val="20"/>
                <w:szCs w:val="20"/>
                <w:lang w:eastAsia="es-ES_tradnl"/>
              </w:rPr>
              <w:t>Trabajadores Familiares</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94.696</w:t>
            </w:r>
          </w:p>
        </w:tc>
        <w:tc>
          <w:tcPr>
            <w:tcW w:w="148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105.738</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color w:val="000000"/>
                <w:sz w:val="20"/>
                <w:szCs w:val="20"/>
                <w:lang w:eastAsia="es-ES_tradnl"/>
              </w:rPr>
            </w:pPr>
            <w:r w:rsidRPr="00E616FA">
              <w:rPr>
                <w:rFonts w:ascii="Calibri" w:eastAsia="Times New Roman" w:hAnsi="Calibri" w:cs="Calibri"/>
                <w:color w:val="000000"/>
                <w:sz w:val="20"/>
                <w:szCs w:val="20"/>
                <w:lang w:eastAsia="es-ES_tradnl"/>
              </w:rPr>
              <w:t>11.041</w:t>
            </w:r>
          </w:p>
        </w:tc>
      </w:tr>
      <w:tr w:rsidR="00E616FA" w:rsidRPr="00E616FA" w:rsidTr="000B2C39">
        <w:trPr>
          <w:trHeight w:val="255"/>
          <w:jc w:val="center"/>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rPr>
                <w:rFonts w:ascii="Arial Narrow" w:eastAsia="Times New Roman" w:hAnsi="Arial Narrow" w:cs="Calibri"/>
                <w:b/>
                <w:bCs/>
                <w:color w:val="000000"/>
                <w:sz w:val="20"/>
                <w:szCs w:val="20"/>
                <w:lang w:eastAsia="es-ES_tradnl"/>
              </w:rPr>
            </w:pPr>
            <w:r w:rsidRPr="00E616FA">
              <w:rPr>
                <w:rFonts w:ascii="Arial Narrow" w:eastAsia="Times New Roman" w:hAnsi="Arial Narrow" w:cs="Calibri"/>
                <w:b/>
                <w:bCs/>
                <w:color w:val="000000"/>
                <w:sz w:val="20"/>
                <w:szCs w:val="20"/>
                <w:lang w:eastAsia="es-ES_tradnl"/>
              </w:rPr>
              <w:t>Total Ocupados</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b/>
                <w:bCs/>
                <w:color w:val="000000"/>
                <w:sz w:val="20"/>
                <w:szCs w:val="20"/>
                <w:lang w:eastAsia="es-ES_tradnl"/>
              </w:rPr>
            </w:pPr>
            <w:r w:rsidRPr="00E616FA">
              <w:rPr>
                <w:rFonts w:ascii="Calibri" w:eastAsia="Times New Roman" w:hAnsi="Calibri" w:cs="Calibri"/>
                <w:b/>
                <w:bCs/>
                <w:color w:val="000000"/>
                <w:sz w:val="20"/>
                <w:szCs w:val="20"/>
                <w:lang w:eastAsia="es-ES_tradnl"/>
              </w:rPr>
              <w:t>16.470.104</w:t>
            </w:r>
          </w:p>
        </w:tc>
        <w:tc>
          <w:tcPr>
            <w:tcW w:w="148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b/>
                <w:bCs/>
                <w:color w:val="000000"/>
                <w:sz w:val="20"/>
                <w:szCs w:val="20"/>
                <w:lang w:eastAsia="es-ES_tradnl"/>
              </w:rPr>
            </w:pPr>
            <w:r w:rsidRPr="00E616FA">
              <w:rPr>
                <w:rFonts w:ascii="Calibri" w:eastAsia="Times New Roman" w:hAnsi="Calibri" w:cs="Calibri"/>
                <w:b/>
                <w:bCs/>
                <w:color w:val="000000"/>
                <w:sz w:val="20"/>
                <w:szCs w:val="20"/>
                <w:lang w:eastAsia="es-ES_tradnl"/>
              </w:rPr>
              <w:t>16.739.135</w:t>
            </w:r>
          </w:p>
        </w:tc>
        <w:tc>
          <w:tcPr>
            <w:tcW w:w="1200" w:type="dxa"/>
            <w:tcBorders>
              <w:top w:val="nil"/>
              <w:left w:val="nil"/>
              <w:bottom w:val="single" w:sz="4" w:space="0" w:color="auto"/>
              <w:right w:val="single" w:sz="4" w:space="0" w:color="auto"/>
            </w:tcBorders>
            <w:shd w:val="clear" w:color="auto" w:fill="auto"/>
            <w:noWrap/>
            <w:vAlign w:val="bottom"/>
            <w:hideMark/>
          </w:tcPr>
          <w:p w:rsidR="00E616FA" w:rsidRPr="00E616FA" w:rsidRDefault="00E616FA" w:rsidP="00E616FA">
            <w:pPr>
              <w:spacing w:after="0" w:line="240" w:lineRule="auto"/>
              <w:jc w:val="center"/>
              <w:rPr>
                <w:rFonts w:ascii="Calibri" w:eastAsia="Times New Roman" w:hAnsi="Calibri" w:cs="Calibri"/>
                <w:b/>
                <w:bCs/>
                <w:color w:val="000000"/>
                <w:sz w:val="20"/>
                <w:szCs w:val="20"/>
                <w:lang w:eastAsia="es-ES_tradnl"/>
              </w:rPr>
            </w:pPr>
            <w:r w:rsidRPr="00E616FA">
              <w:rPr>
                <w:rFonts w:ascii="Calibri" w:eastAsia="Times New Roman" w:hAnsi="Calibri" w:cs="Calibri"/>
                <w:b/>
                <w:bCs/>
                <w:color w:val="000000"/>
                <w:sz w:val="20"/>
                <w:szCs w:val="20"/>
                <w:lang w:eastAsia="es-ES_tradnl"/>
              </w:rPr>
              <w:t>269.031</w:t>
            </w:r>
          </w:p>
        </w:tc>
      </w:tr>
    </w:tbl>
    <w:p w:rsidR="00E61111" w:rsidRDefault="00E61111" w:rsidP="00E61111">
      <w:pPr>
        <w:jc w:val="center"/>
        <w:rPr>
          <w:sz w:val="20"/>
          <w:szCs w:val="20"/>
        </w:rPr>
      </w:pPr>
      <w:r w:rsidRPr="00404CC7">
        <w:rPr>
          <w:sz w:val="20"/>
          <w:szCs w:val="20"/>
        </w:rPr>
        <w:t>Fuente: Elaboración propia en base a EPH – INDEC.</w:t>
      </w:r>
    </w:p>
    <w:p w:rsidR="00656CF6" w:rsidRDefault="00656CF6" w:rsidP="001F4F27">
      <w:pPr>
        <w:jc w:val="both"/>
        <w:rPr>
          <w:sz w:val="20"/>
          <w:szCs w:val="20"/>
        </w:rPr>
      </w:pPr>
    </w:p>
    <w:p w:rsidR="00656CF6" w:rsidRPr="00E61111" w:rsidRDefault="00E61111" w:rsidP="001F4F27">
      <w:pPr>
        <w:jc w:val="both"/>
      </w:pPr>
      <w:r w:rsidRPr="00E61111">
        <w:t>Cuadro: Evolución del índice de precarización laboral. 2015 – 2016.</w:t>
      </w:r>
    </w:p>
    <w:tbl>
      <w:tblPr>
        <w:tblW w:w="8979" w:type="dxa"/>
        <w:jc w:val="center"/>
        <w:tblCellMar>
          <w:left w:w="70" w:type="dxa"/>
          <w:right w:w="70" w:type="dxa"/>
        </w:tblCellMar>
        <w:tblLook w:val="04A0"/>
      </w:tblPr>
      <w:tblGrid>
        <w:gridCol w:w="2699"/>
        <w:gridCol w:w="1514"/>
        <w:gridCol w:w="1166"/>
        <w:gridCol w:w="1356"/>
        <w:gridCol w:w="1044"/>
        <w:gridCol w:w="1200"/>
      </w:tblGrid>
      <w:tr w:rsidR="00656CF6" w:rsidRPr="00656CF6" w:rsidTr="000B2C39">
        <w:trPr>
          <w:trHeight w:val="255"/>
          <w:jc w:val="center"/>
        </w:trPr>
        <w:tc>
          <w:tcPr>
            <w:tcW w:w="2699" w:type="dxa"/>
            <w:tcBorders>
              <w:top w:val="nil"/>
              <w:left w:val="single" w:sz="4" w:space="0" w:color="auto"/>
              <w:bottom w:val="nil"/>
              <w:right w:val="single" w:sz="4" w:space="0" w:color="auto"/>
            </w:tcBorders>
            <w:shd w:val="clear" w:color="000000" w:fill="0070C0"/>
            <w:noWrap/>
            <w:vAlign w:val="bottom"/>
            <w:hideMark/>
          </w:tcPr>
          <w:p w:rsidR="00656CF6" w:rsidRPr="00656CF6" w:rsidRDefault="00656CF6" w:rsidP="00656CF6">
            <w:pPr>
              <w:spacing w:after="0" w:line="240" w:lineRule="auto"/>
              <w:rPr>
                <w:rFonts w:ascii="Calibri" w:eastAsia="Times New Roman" w:hAnsi="Calibri" w:cs="Calibri"/>
                <w:color w:val="FFFFFF"/>
                <w:lang w:eastAsia="es-ES_tradnl"/>
              </w:rPr>
            </w:pPr>
            <w:r w:rsidRPr="00656CF6">
              <w:rPr>
                <w:rFonts w:ascii="Calibri" w:eastAsia="Times New Roman" w:hAnsi="Calibri" w:cs="Calibri"/>
                <w:color w:val="FFFFFF"/>
                <w:lang w:eastAsia="es-ES_tradnl"/>
              </w:rPr>
              <w:t> </w:t>
            </w:r>
          </w:p>
        </w:tc>
        <w:tc>
          <w:tcPr>
            <w:tcW w:w="2680" w:type="dxa"/>
            <w:gridSpan w:val="2"/>
            <w:tcBorders>
              <w:top w:val="single" w:sz="4" w:space="0" w:color="auto"/>
              <w:left w:val="nil"/>
              <w:bottom w:val="single" w:sz="4" w:space="0" w:color="auto"/>
              <w:right w:val="single" w:sz="4" w:space="0" w:color="000000"/>
            </w:tcBorders>
            <w:shd w:val="clear" w:color="000000" w:fill="0070C0"/>
            <w:noWrap/>
            <w:vAlign w:val="bottom"/>
            <w:hideMark/>
          </w:tcPr>
          <w:p w:rsidR="00656CF6" w:rsidRPr="00656CF6" w:rsidRDefault="00656CF6" w:rsidP="00656CF6">
            <w:pPr>
              <w:spacing w:after="0" w:line="240" w:lineRule="auto"/>
              <w:jc w:val="center"/>
              <w:rPr>
                <w:rFonts w:ascii="Arial Narrow" w:eastAsia="Times New Roman" w:hAnsi="Arial Narrow" w:cs="Calibri"/>
                <w:b/>
                <w:bCs/>
                <w:color w:val="FFFFFF"/>
                <w:sz w:val="20"/>
                <w:szCs w:val="20"/>
                <w:lang w:eastAsia="es-ES_tradnl"/>
              </w:rPr>
            </w:pPr>
            <w:r w:rsidRPr="00656CF6">
              <w:rPr>
                <w:rFonts w:ascii="Arial Narrow" w:eastAsia="Times New Roman" w:hAnsi="Arial Narrow" w:cs="Calibri"/>
                <w:b/>
                <w:bCs/>
                <w:color w:val="FFFFFF"/>
                <w:sz w:val="20"/>
                <w:szCs w:val="20"/>
                <w:lang w:eastAsia="es-ES_tradnl"/>
              </w:rPr>
              <w:t>II trimestre 2015</w:t>
            </w:r>
          </w:p>
        </w:tc>
        <w:tc>
          <w:tcPr>
            <w:tcW w:w="2400" w:type="dxa"/>
            <w:gridSpan w:val="2"/>
            <w:tcBorders>
              <w:top w:val="single" w:sz="4" w:space="0" w:color="auto"/>
              <w:left w:val="nil"/>
              <w:bottom w:val="single" w:sz="4" w:space="0" w:color="auto"/>
              <w:right w:val="single" w:sz="4" w:space="0" w:color="000000"/>
            </w:tcBorders>
            <w:shd w:val="clear" w:color="000000" w:fill="0070C0"/>
            <w:noWrap/>
            <w:vAlign w:val="bottom"/>
            <w:hideMark/>
          </w:tcPr>
          <w:p w:rsidR="00656CF6" w:rsidRPr="00656CF6" w:rsidRDefault="00656CF6" w:rsidP="00656CF6">
            <w:pPr>
              <w:spacing w:after="0" w:line="240" w:lineRule="auto"/>
              <w:jc w:val="center"/>
              <w:rPr>
                <w:rFonts w:ascii="Arial Narrow" w:eastAsia="Times New Roman" w:hAnsi="Arial Narrow" w:cs="Calibri"/>
                <w:b/>
                <w:bCs/>
                <w:color w:val="FFFFFF"/>
                <w:sz w:val="20"/>
                <w:szCs w:val="20"/>
                <w:lang w:eastAsia="es-ES_tradnl"/>
              </w:rPr>
            </w:pPr>
            <w:r w:rsidRPr="00656CF6">
              <w:rPr>
                <w:rFonts w:ascii="Arial Narrow" w:eastAsia="Times New Roman" w:hAnsi="Arial Narrow" w:cs="Calibri"/>
                <w:b/>
                <w:bCs/>
                <w:color w:val="FFFFFF"/>
                <w:sz w:val="20"/>
                <w:szCs w:val="20"/>
                <w:lang w:eastAsia="es-ES_tradnl"/>
              </w:rPr>
              <w:t>II trimestre 2016</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0070C0"/>
            <w:noWrap/>
            <w:vAlign w:val="bottom"/>
            <w:hideMark/>
          </w:tcPr>
          <w:p w:rsidR="00656CF6" w:rsidRPr="00656CF6" w:rsidRDefault="00656CF6" w:rsidP="00656CF6">
            <w:pPr>
              <w:spacing w:after="0" w:line="240" w:lineRule="auto"/>
              <w:jc w:val="center"/>
              <w:rPr>
                <w:rFonts w:ascii="Arial Narrow" w:eastAsia="Times New Roman" w:hAnsi="Arial Narrow" w:cs="Calibri"/>
                <w:b/>
                <w:bCs/>
                <w:color w:val="FFFFFF"/>
                <w:sz w:val="20"/>
                <w:szCs w:val="20"/>
                <w:lang w:eastAsia="es-ES_tradnl"/>
              </w:rPr>
            </w:pPr>
            <w:r w:rsidRPr="00656CF6">
              <w:rPr>
                <w:rFonts w:ascii="Arial Narrow" w:eastAsia="Times New Roman" w:hAnsi="Arial Narrow" w:cs="Calibri"/>
                <w:b/>
                <w:bCs/>
                <w:color w:val="FFFFFF"/>
                <w:sz w:val="20"/>
                <w:szCs w:val="20"/>
                <w:lang w:eastAsia="es-ES_tradnl"/>
              </w:rPr>
              <w:t>2015-2016</w:t>
            </w:r>
          </w:p>
        </w:tc>
      </w:tr>
      <w:tr w:rsidR="00656CF6" w:rsidRPr="00656CF6" w:rsidTr="000B2C39">
        <w:trPr>
          <w:trHeight w:val="255"/>
          <w:jc w:val="center"/>
        </w:trPr>
        <w:tc>
          <w:tcPr>
            <w:tcW w:w="2699" w:type="dxa"/>
            <w:tcBorders>
              <w:top w:val="nil"/>
              <w:left w:val="single" w:sz="4" w:space="0" w:color="auto"/>
              <w:bottom w:val="single" w:sz="4" w:space="0" w:color="auto"/>
              <w:right w:val="single" w:sz="4" w:space="0" w:color="auto"/>
            </w:tcBorders>
            <w:shd w:val="clear" w:color="000000" w:fill="0070C0"/>
            <w:noWrap/>
            <w:vAlign w:val="bottom"/>
            <w:hideMark/>
          </w:tcPr>
          <w:p w:rsidR="00656CF6" w:rsidRPr="00656CF6" w:rsidRDefault="00656CF6" w:rsidP="00656CF6">
            <w:pPr>
              <w:spacing w:after="0" w:line="240" w:lineRule="auto"/>
              <w:rPr>
                <w:rFonts w:ascii="Calibri" w:eastAsia="Times New Roman" w:hAnsi="Calibri" w:cs="Calibri"/>
                <w:color w:val="FFFFFF"/>
                <w:lang w:eastAsia="es-ES_tradnl"/>
              </w:rPr>
            </w:pPr>
            <w:r w:rsidRPr="00656CF6">
              <w:rPr>
                <w:rFonts w:ascii="Calibri" w:eastAsia="Times New Roman" w:hAnsi="Calibri" w:cs="Calibri"/>
                <w:color w:val="FFFFFF"/>
                <w:lang w:eastAsia="es-ES_tradnl"/>
              </w:rPr>
              <w:t> </w:t>
            </w:r>
          </w:p>
        </w:tc>
        <w:tc>
          <w:tcPr>
            <w:tcW w:w="1514" w:type="dxa"/>
            <w:tcBorders>
              <w:top w:val="nil"/>
              <w:left w:val="nil"/>
              <w:bottom w:val="single" w:sz="4" w:space="0" w:color="auto"/>
              <w:right w:val="single" w:sz="4" w:space="0" w:color="auto"/>
            </w:tcBorders>
            <w:shd w:val="clear" w:color="000000" w:fill="0070C0"/>
            <w:noWrap/>
            <w:vAlign w:val="bottom"/>
            <w:hideMark/>
          </w:tcPr>
          <w:p w:rsidR="00656CF6" w:rsidRPr="00656CF6" w:rsidRDefault="00656CF6" w:rsidP="00656CF6">
            <w:pPr>
              <w:spacing w:after="0" w:line="240" w:lineRule="auto"/>
              <w:jc w:val="center"/>
              <w:rPr>
                <w:rFonts w:ascii="Calibri" w:eastAsia="Times New Roman" w:hAnsi="Calibri" w:cs="Calibri"/>
                <w:b/>
                <w:bCs/>
                <w:color w:val="FFFFFF"/>
                <w:sz w:val="20"/>
                <w:szCs w:val="20"/>
                <w:lang w:eastAsia="es-ES_tradnl"/>
              </w:rPr>
            </w:pPr>
            <w:r w:rsidRPr="00656CF6">
              <w:rPr>
                <w:rFonts w:ascii="Calibri" w:eastAsia="Times New Roman" w:hAnsi="Calibri" w:cs="Calibri"/>
                <w:b/>
                <w:bCs/>
                <w:color w:val="FFFFFF"/>
                <w:sz w:val="20"/>
                <w:szCs w:val="20"/>
                <w:lang w:eastAsia="es-ES_tradnl"/>
              </w:rPr>
              <w:t>Cantidad</w:t>
            </w:r>
          </w:p>
        </w:tc>
        <w:tc>
          <w:tcPr>
            <w:tcW w:w="1166" w:type="dxa"/>
            <w:tcBorders>
              <w:top w:val="nil"/>
              <w:left w:val="nil"/>
              <w:bottom w:val="single" w:sz="4" w:space="0" w:color="auto"/>
              <w:right w:val="single" w:sz="4" w:space="0" w:color="auto"/>
            </w:tcBorders>
            <w:shd w:val="clear" w:color="000000" w:fill="0070C0"/>
            <w:noWrap/>
            <w:vAlign w:val="bottom"/>
            <w:hideMark/>
          </w:tcPr>
          <w:p w:rsidR="00656CF6" w:rsidRPr="00656CF6" w:rsidRDefault="00656CF6" w:rsidP="00656CF6">
            <w:pPr>
              <w:spacing w:after="0" w:line="240" w:lineRule="auto"/>
              <w:jc w:val="center"/>
              <w:rPr>
                <w:rFonts w:ascii="Calibri" w:eastAsia="Times New Roman" w:hAnsi="Calibri" w:cs="Calibri"/>
                <w:b/>
                <w:bCs/>
                <w:color w:val="FFFFFF"/>
                <w:sz w:val="20"/>
                <w:szCs w:val="20"/>
                <w:lang w:eastAsia="es-ES_tradnl"/>
              </w:rPr>
            </w:pPr>
            <w:r w:rsidRPr="00656CF6">
              <w:rPr>
                <w:rFonts w:ascii="Calibri" w:eastAsia="Times New Roman" w:hAnsi="Calibri" w:cs="Calibri"/>
                <w:b/>
                <w:bCs/>
                <w:color w:val="FFFFFF"/>
                <w:sz w:val="20"/>
                <w:szCs w:val="20"/>
                <w:lang w:eastAsia="es-ES_tradnl"/>
              </w:rPr>
              <w:t>%</w:t>
            </w:r>
          </w:p>
        </w:tc>
        <w:tc>
          <w:tcPr>
            <w:tcW w:w="1356" w:type="dxa"/>
            <w:tcBorders>
              <w:top w:val="nil"/>
              <w:left w:val="nil"/>
              <w:bottom w:val="single" w:sz="4" w:space="0" w:color="auto"/>
              <w:right w:val="single" w:sz="4" w:space="0" w:color="auto"/>
            </w:tcBorders>
            <w:shd w:val="clear" w:color="000000" w:fill="0070C0"/>
            <w:noWrap/>
            <w:vAlign w:val="bottom"/>
            <w:hideMark/>
          </w:tcPr>
          <w:p w:rsidR="00656CF6" w:rsidRPr="00656CF6" w:rsidRDefault="00656CF6" w:rsidP="00656CF6">
            <w:pPr>
              <w:spacing w:after="0" w:line="240" w:lineRule="auto"/>
              <w:jc w:val="center"/>
              <w:rPr>
                <w:rFonts w:ascii="Calibri" w:eastAsia="Times New Roman" w:hAnsi="Calibri" w:cs="Calibri"/>
                <w:b/>
                <w:bCs/>
                <w:color w:val="FFFFFF"/>
                <w:sz w:val="20"/>
                <w:szCs w:val="20"/>
                <w:lang w:eastAsia="es-ES_tradnl"/>
              </w:rPr>
            </w:pPr>
            <w:r w:rsidRPr="00656CF6">
              <w:rPr>
                <w:rFonts w:ascii="Calibri" w:eastAsia="Times New Roman" w:hAnsi="Calibri" w:cs="Calibri"/>
                <w:b/>
                <w:bCs/>
                <w:color w:val="FFFFFF"/>
                <w:sz w:val="20"/>
                <w:szCs w:val="20"/>
                <w:lang w:eastAsia="es-ES_tradnl"/>
              </w:rPr>
              <w:t>Cantidad</w:t>
            </w:r>
          </w:p>
        </w:tc>
        <w:tc>
          <w:tcPr>
            <w:tcW w:w="1044" w:type="dxa"/>
            <w:tcBorders>
              <w:top w:val="nil"/>
              <w:left w:val="nil"/>
              <w:bottom w:val="single" w:sz="4" w:space="0" w:color="auto"/>
              <w:right w:val="single" w:sz="4" w:space="0" w:color="auto"/>
            </w:tcBorders>
            <w:shd w:val="clear" w:color="000000" w:fill="0070C0"/>
            <w:noWrap/>
            <w:vAlign w:val="bottom"/>
            <w:hideMark/>
          </w:tcPr>
          <w:p w:rsidR="00656CF6" w:rsidRPr="00656CF6" w:rsidRDefault="00656CF6" w:rsidP="00656CF6">
            <w:pPr>
              <w:spacing w:after="0" w:line="240" w:lineRule="auto"/>
              <w:jc w:val="center"/>
              <w:rPr>
                <w:rFonts w:ascii="Calibri" w:eastAsia="Times New Roman" w:hAnsi="Calibri" w:cs="Calibri"/>
                <w:b/>
                <w:bCs/>
                <w:color w:val="FFFFFF"/>
                <w:sz w:val="20"/>
                <w:szCs w:val="20"/>
                <w:lang w:eastAsia="es-ES_tradnl"/>
              </w:rPr>
            </w:pPr>
            <w:r w:rsidRPr="00656CF6">
              <w:rPr>
                <w:rFonts w:ascii="Calibri" w:eastAsia="Times New Roman" w:hAnsi="Calibri" w:cs="Calibri"/>
                <w:b/>
                <w:bCs/>
                <w:color w:val="FFFFFF"/>
                <w:sz w:val="20"/>
                <w:szCs w:val="20"/>
                <w:lang w:eastAsia="es-ES_tradnl"/>
              </w:rPr>
              <w:t>%</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656CF6" w:rsidRPr="00656CF6" w:rsidRDefault="00656CF6" w:rsidP="00656CF6">
            <w:pPr>
              <w:spacing w:after="0" w:line="240" w:lineRule="auto"/>
              <w:rPr>
                <w:rFonts w:ascii="Arial Narrow" w:eastAsia="Times New Roman" w:hAnsi="Arial Narrow" w:cs="Calibri"/>
                <w:b/>
                <w:bCs/>
                <w:color w:val="FFFFFF"/>
                <w:sz w:val="20"/>
                <w:szCs w:val="20"/>
                <w:lang w:eastAsia="es-ES_tradnl"/>
              </w:rPr>
            </w:pPr>
          </w:p>
        </w:tc>
      </w:tr>
      <w:tr w:rsidR="00656CF6" w:rsidRPr="00656CF6" w:rsidTr="000B2C39">
        <w:trPr>
          <w:trHeight w:val="255"/>
          <w:jc w:val="center"/>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656CF6" w:rsidRPr="00656CF6" w:rsidRDefault="00656CF6" w:rsidP="00656CF6">
            <w:pPr>
              <w:spacing w:after="0" w:line="240" w:lineRule="auto"/>
              <w:jc w:val="right"/>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Fuerza total laboral</w:t>
            </w:r>
          </w:p>
        </w:tc>
        <w:tc>
          <w:tcPr>
            <w:tcW w:w="151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17.022.163</w:t>
            </w:r>
          </w:p>
        </w:tc>
        <w:tc>
          <w:tcPr>
            <w:tcW w:w="116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100,00%</w:t>
            </w:r>
          </w:p>
        </w:tc>
        <w:tc>
          <w:tcPr>
            <w:tcW w:w="135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17.817.759</w:t>
            </w:r>
          </w:p>
        </w:tc>
        <w:tc>
          <w:tcPr>
            <w:tcW w:w="104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right"/>
              <w:rPr>
                <w:rFonts w:ascii="Arial Narrow" w:eastAsia="Times New Roman" w:hAnsi="Arial Narrow" w:cs="Calibri"/>
                <w:b/>
                <w:bCs/>
                <w:color w:val="000000"/>
                <w:sz w:val="20"/>
                <w:szCs w:val="20"/>
                <w:lang w:eastAsia="es-ES_tradnl"/>
              </w:rPr>
            </w:pPr>
            <w:r w:rsidRPr="00656CF6">
              <w:rPr>
                <w:rFonts w:ascii="Arial Narrow" w:eastAsia="Times New Roman" w:hAnsi="Arial Narrow" w:cs="Calibri"/>
                <w:b/>
                <w:bCs/>
                <w:color w:val="000000"/>
                <w:sz w:val="20"/>
                <w:szCs w:val="20"/>
                <w:lang w:eastAsia="es-ES_tradnl"/>
              </w:rPr>
              <w:t>795.596</w:t>
            </w:r>
          </w:p>
        </w:tc>
      </w:tr>
      <w:tr w:rsidR="00656CF6" w:rsidRPr="00656CF6" w:rsidTr="000B2C39">
        <w:trPr>
          <w:trHeight w:val="255"/>
          <w:jc w:val="center"/>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656CF6" w:rsidRPr="00656CF6" w:rsidRDefault="00656CF6" w:rsidP="00656CF6">
            <w:pPr>
              <w:spacing w:after="0" w:line="240" w:lineRule="auto"/>
              <w:jc w:val="right"/>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Fuerza laboral precarizada</w:t>
            </w:r>
          </w:p>
        </w:tc>
        <w:tc>
          <w:tcPr>
            <w:tcW w:w="151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7.939.995</w:t>
            </w:r>
          </w:p>
        </w:tc>
        <w:tc>
          <w:tcPr>
            <w:tcW w:w="116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46,65%</w:t>
            </w:r>
          </w:p>
        </w:tc>
        <w:tc>
          <w:tcPr>
            <w:tcW w:w="135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9.105.198</w:t>
            </w:r>
          </w:p>
        </w:tc>
        <w:tc>
          <w:tcPr>
            <w:tcW w:w="104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51,10%</w:t>
            </w:r>
          </w:p>
        </w:tc>
        <w:tc>
          <w:tcPr>
            <w:tcW w:w="1200"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right"/>
              <w:rPr>
                <w:rFonts w:ascii="Arial Narrow" w:eastAsia="Times New Roman" w:hAnsi="Arial Narrow" w:cs="Calibri"/>
                <w:b/>
                <w:bCs/>
                <w:color w:val="000000"/>
                <w:sz w:val="20"/>
                <w:szCs w:val="20"/>
                <w:lang w:eastAsia="es-ES_tradnl"/>
              </w:rPr>
            </w:pPr>
            <w:r w:rsidRPr="00656CF6">
              <w:rPr>
                <w:rFonts w:ascii="Arial Narrow" w:eastAsia="Times New Roman" w:hAnsi="Arial Narrow" w:cs="Calibri"/>
                <w:b/>
                <w:bCs/>
                <w:color w:val="000000"/>
                <w:sz w:val="20"/>
                <w:szCs w:val="20"/>
                <w:lang w:eastAsia="es-ES_tradnl"/>
              </w:rPr>
              <w:t>1.165.203</w:t>
            </w:r>
          </w:p>
        </w:tc>
      </w:tr>
      <w:tr w:rsidR="00656CF6" w:rsidRPr="00656CF6" w:rsidTr="000B2C39">
        <w:trPr>
          <w:trHeight w:val="510"/>
          <w:jc w:val="center"/>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656CF6" w:rsidRPr="00656CF6" w:rsidRDefault="00656CF6" w:rsidP="00656CF6">
            <w:pPr>
              <w:spacing w:after="0" w:line="240" w:lineRule="auto"/>
              <w:jc w:val="right"/>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 xml:space="preserve">Por ausencia de contratación laboral </w:t>
            </w:r>
            <w:r w:rsidRPr="00656CF6">
              <w:rPr>
                <w:rFonts w:ascii="Calibri" w:eastAsia="Times New Roman" w:hAnsi="Calibri" w:cs="Calibri"/>
                <w:b/>
                <w:bCs/>
                <w:color w:val="000000"/>
                <w:sz w:val="20"/>
                <w:szCs w:val="20"/>
                <w:lang w:eastAsia="es-ES_tradnl"/>
              </w:rPr>
              <w:br/>
              <w:t>o modalidad precaria</w:t>
            </w:r>
          </w:p>
        </w:tc>
        <w:tc>
          <w:tcPr>
            <w:tcW w:w="151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5.689.979</w:t>
            </w:r>
          </w:p>
        </w:tc>
        <w:tc>
          <w:tcPr>
            <w:tcW w:w="116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33,43%</w:t>
            </w:r>
          </w:p>
        </w:tc>
        <w:tc>
          <w:tcPr>
            <w:tcW w:w="135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6.268.733</w:t>
            </w:r>
          </w:p>
        </w:tc>
        <w:tc>
          <w:tcPr>
            <w:tcW w:w="104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35,18%</w:t>
            </w:r>
          </w:p>
        </w:tc>
        <w:tc>
          <w:tcPr>
            <w:tcW w:w="1200"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right"/>
              <w:rPr>
                <w:rFonts w:ascii="Arial Narrow" w:eastAsia="Times New Roman" w:hAnsi="Arial Narrow" w:cs="Calibri"/>
                <w:b/>
                <w:bCs/>
                <w:color w:val="000000"/>
                <w:sz w:val="20"/>
                <w:szCs w:val="20"/>
                <w:lang w:eastAsia="es-ES_tradnl"/>
              </w:rPr>
            </w:pPr>
            <w:r w:rsidRPr="00656CF6">
              <w:rPr>
                <w:rFonts w:ascii="Arial Narrow" w:eastAsia="Times New Roman" w:hAnsi="Arial Narrow" w:cs="Calibri"/>
                <w:b/>
                <w:bCs/>
                <w:color w:val="000000"/>
                <w:sz w:val="20"/>
                <w:szCs w:val="20"/>
                <w:lang w:eastAsia="es-ES_tradnl"/>
              </w:rPr>
              <w:t>578.754</w:t>
            </w:r>
          </w:p>
        </w:tc>
      </w:tr>
      <w:tr w:rsidR="00656CF6" w:rsidRPr="00656CF6" w:rsidTr="000B2C39">
        <w:trPr>
          <w:trHeight w:val="255"/>
          <w:jc w:val="center"/>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656CF6" w:rsidRPr="00656CF6" w:rsidRDefault="00656CF6" w:rsidP="00656CF6">
            <w:pPr>
              <w:spacing w:after="0" w:line="240" w:lineRule="auto"/>
              <w:jc w:val="right"/>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Desocupados</w:t>
            </w:r>
          </w:p>
        </w:tc>
        <w:tc>
          <w:tcPr>
            <w:tcW w:w="151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1.165.607</w:t>
            </w:r>
          </w:p>
        </w:tc>
        <w:tc>
          <w:tcPr>
            <w:tcW w:w="116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6,85%</w:t>
            </w:r>
          </w:p>
        </w:tc>
        <w:tc>
          <w:tcPr>
            <w:tcW w:w="135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1.719.246</w:t>
            </w:r>
          </w:p>
        </w:tc>
        <w:tc>
          <w:tcPr>
            <w:tcW w:w="104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9,65%</w:t>
            </w:r>
          </w:p>
        </w:tc>
        <w:tc>
          <w:tcPr>
            <w:tcW w:w="1200"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right"/>
              <w:rPr>
                <w:rFonts w:ascii="Arial Narrow" w:eastAsia="Times New Roman" w:hAnsi="Arial Narrow" w:cs="Calibri"/>
                <w:color w:val="000000"/>
                <w:sz w:val="20"/>
                <w:szCs w:val="20"/>
                <w:lang w:eastAsia="es-ES_tradnl"/>
              </w:rPr>
            </w:pPr>
            <w:r w:rsidRPr="00656CF6">
              <w:rPr>
                <w:rFonts w:ascii="Arial Narrow" w:eastAsia="Times New Roman" w:hAnsi="Arial Narrow" w:cs="Calibri"/>
                <w:color w:val="000000"/>
                <w:sz w:val="20"/>
                <w:szCs w:val="20"/>
                <w:lang w:eastAsia="es-ES_tradnl"/>
              </w:rPr>
              <w:t>553.639</w:t>
            </w:r>
          </w:p>
        </w:tc>
      </w:tr>
      <w:tr w:rsidR="00656CF6" w:rsidRPr="00656CF6" w:rsidTr="000B2C39">
        <w:trPr>
          <w:trHeight w:val="255"/>
          <w:jc w:val="center"/>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656CF6" w:rsidRPr="00656CF6" w:rsidRDefault="00656CF6" w:rsidP="00656CF6">
            <w:pPr>
              <w:spacing w:after="0" w:line="240" w:lineRule="auto"/>
              <w:jc w:val="right"/>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Asalariados No registrados</w:t>
            </w:r>
          </w:p>
        </w:tc>
        <w:tc>
          <w:tcPr>
            <w:tcW w:w="151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4.151.709</w:t>
            </w:r>
          </w:p>
        </w:tc>
        <w:tc>
          <w:tcPr>
            <w:tcW w:w="116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24,39%</w:t>
            </w:r>
          </w:p>
        </w:tc>
        <w:tc>
          <w:tcPr>
            <w:tcW w:w="135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4.203.251</w:t>
            </w:r>
          </w:p>
        </w:tc>
        <w:tc>
          <w:tcPr>
            <w:tcW w:w="104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23,59%</w:t>
            </w:r>
          </w:p>
        </w:tc>
        <w:tc>
          <w:tcPr>
            <w:tcW w:w="1200"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right"/>
              <w:rPr>
                <w:rFonts w:ascii="Arial Narrow" w:eastAsia="Times New Roman" w:hAnsi="Arial Narrow" w:cs="Calibri"/>
                <w:color w:val="000000"/>
                <w:sz w:val="20"/>
                <w:szCs w:val="20"/>
                <w:lang w:eastAsia="es-ES_tradnl"/>
              </w:rPr>
            </w:pPr>
            <w:r w:rsidRPr="00656CF6">
              <w:rPr>
                <w:rFonts w:ascii="Arial Narrow" w:eastAsia="Times New Roman" w:hAnsi="Arial Narrow" w:cs="Calibri"/>
                <w:color w:val="000000"/>
                <w:sz w:val="20"/>
                <w:szCs w:val="20"/>
                <w:lang w:eastAsia="es-ES_tradnl"/>
              </w:rPr>
              <w:t>51.542</w:t>
            </w:r>
          </w:p>
        </w:tc>
      </w:tr>
      <w:tr w:rsidR="00656CF6" w:rsidRPr="00656CF6" w:rsidTr="000B2C39">
        <w:trPr>
          <w:trHeight w:val="255"/>
          <w:jc w:val="center"/>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656CF6" w:rsidRPr="00656CF6" w:rsidRDefault="00656CF6" w:rsidP="00656CF6">
            <w:pPr>
              <w:spacing w:after="0" w:line="240" w:lineRule="auto"/>
              <w:jc w:val="right"/>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Trabajadores familiares</w:t>
            </w:r>
          </w:p>
        </w:tc>
        <w:tc>
          <w:tcPr>
            <w:tcW w:w="151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94.696</w:t>
            </w:r>
          </w:p>
        </w:tc>
        <w:tc>
          <w:tcPr>
            <w:tcW w:w="116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0,56%</w:t>
            </w:r>
          </w:p>
        </w:tc>
        <w:tc>
          <w:tcPr>
            <w:tcW w:w="135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105.738</w:t>
            </w:r>
          </w:p>
        </w:tc>
        <w:tc>
          <w:tcPr>
            <w:tcW w:w="104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0,59%</w:t>
            </w:r>
          </w:p>
        </w:tc>
        <w:tc>
          <w:tcPr>
            <w:tcW w:w="1200"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right"/>
              <w:rPr>
                <w:rFonts w:ascii="Arial Narrow" w:eastAsia="Times New Roman" w:hAnsi="Arial Narrow" w:cs="Calibri"/>
                <w:color w:val="000000"/>
                <w:sz w:val="20"/>
                <w:szCs w:val="20"/>
                <w:lang w:eastAsia="es-ES_tradnl"/>
              </w:rPr>
            </w:pPr>
            <w:r w:rsidRPr="00656CF6">
              <w:rPr>
                <w:rFonts w:ascii="Arial Narrow" w:eastAsia="Times New Roman" w:hAnsi="Arial Narrow" w:cs="Calibri"/>
                <w:color w:val="000000"/>
                <w:sz w:val="20"/>
                <w:szCs w:val="20"/>
                <w:lang w:eastAsia="es-ES_tradnl"/>
              </w:rPr>
              <w:t>11.041</w:t>
            </w:r>
          </w:p>
        </w:tc>
      </w:tr>
      <w:tr w:rsidR="00656CF6" w:rsidRPr="00656CF6" w:rsidTr="000B2C39">
        <w:trPr>
          <w:trHeight w:val="510"/>
          <w:jc w:val="center"/>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656CF6" w:rsidRPr="00656CF6" w:rsidRDefault="00656CF6" w:rsidP="00656CF6">
            <w:pPr>
              <w:spacing w:after="0" w:line="240" w:lineRule="auto"/>
              <w:jc w:val="right"/>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 xml:space="preserve">Asalariados Registrados </w:t>
            </w:r>
            <w:r w:rsidRPr="00656CF6">
              <w:rPr>
                <w:rFonts w:ascii="Calibri" w:eastAsia="Times New Roman" w:hAnsi="Calibri" w:cs="Calibri"/>
                <w:color w:val="000000"/>
                <w:sz w:val="20"/>
                <w:szCs w:val="20"/>
                <w:lang w:eastAsia="es-ES_tradnl"/>
              </w:rPr>
              <w:br/>
              <w:t>con tiempo de finalización en su contrato</w:t>
            </w:r>
          </w:p>
        </w:tc>
        <w:tc>
          <w:tcPr>
            <w:tcW w:w="1514" w:type="dxa"/>
            <w:tcBorders>
              <w:top w:val="nil"/>
              <w:left w:val="nil"/>
              <w:bottom w:val="single" w:sz="4" w:space="0" w:color="auto"/>
              <w:right w:val="single" w:sz="4" w:space="0" w:color="auto"/>
            </w:tcBorders>
            <w:shd w:val="clear" w:color="auto" w:fill="auto"/>
            <w:noWrap/>
            <w:vAlign w:val="center"/>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277.966</w:t>
            </w:r>
          </w:p>
        </w:tc>
        <w:tc>
          <w:tcPr>
            <w:tcW w:w="1166" w:type="dxa"/>
            <w:tcBorders>
              <w:top w:val="nil"/>
              <w:left w:val="nil"/>
              <w:bottom w:val="single" w:sz="4" w:space="0" w:color="auto"/>
              <w:right w:val="single" w:sz="4" w:space="0" w:color="auto"/>
            </w:tcBorders>
            <w:shd w:val="clear" w:color="auto" w:fill="auto"/>
            <w:noWrap/>
            <w:vAlign w:val="center"/>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1,63%</w:t>
            </w:r>
          </w:p>
        </w:tc>
        <w:tc>
          <w:tcPr>
            <w:tcW w:w="1356" w:type="dxa"/>
            <w:tcBorders>
              <w:top w:val="nil"/>
              <w:left w:val="nil"/>
              <w:bottom w:val="single" w:sz="4" w:space="0" w:color="auto"/>
              <w:right w:val="single" w:sz="4" w:space="0" w:color="auto"/>
            </w:tcBorders>
            <w:shd w:val="clear" w:color="auto" w:fill="auto"/>
            <w:noWrap/>
            <w:vAlign w:val="center"/>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240.499</w:t>
            </w:r>
          </w:p>
        </w:tc>
        <w:tc>
          <w:tcPr>
            <w:tcW w:w="1044" w:type="dxa"/>
            <w:tcBorders>
              <w:top w:val="nil"/>
              <w:left w:val="nil"/>
              <w:bottom w:val="single" w:sz="4" w:space="0" w:color="auto"/>
              <w:right w:val="single" w:sz="4" w:space="0" w:color="auto"/>
            </w:tcBorders>
            <w:shd w:val="clear" w:color="auto" w:fill="auto"/>
            <w:noWrap/>
            <w:vAlign w:val="center"/>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1,35%</w:t>
            </w:r>
          </w:p>
        </w:tc>
        <w:tc>
          <w:tcPr>
            <w:tcW w:w="1200"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right"/>
              <w:rPr>
                <w:rFonts w:ascii="Arial Narrow" w:eastAsia="Times New Roman" w:hAnsi="Arial Narrow" w:cs="Calibri"/>
                <w:color w:val="000000"/>
                <w:sz w:val="20"/>
                <w:szCs w:val="20"/>
                <w:lang w:eastAsia="es-ES_tradnl"/>
              </w:rPr>
            </w:pPr>
            <w:r w:rsidRPr="00656CF6">
              <w:rPr>
                <w:rFonts w:ascii="Arial Narrow" w:eastAsia="Times New Roman" w:hAnsi="Arial Narrow" w:cs="Calibri"/>
                <w:color w:val="000000"/>
                <w:sz w:val="20"/>
                <w:szCs w:val="20"/>
                <w:lang w:eastAsia="es-ES_tradnl"/>
              </w:rPr>
              <w:t>-37.468</w:t>
            </w:r>
          </w:p>
        </w:tc>
      </w:tr>
      <w:tr w:rsidR="00656CF6" w:rsidRPr="00656CF6" w:rsidTr="000B2C39">
        <w:trPr>
          <w:trHeight w:val="510"/>
          <w:jc w:val="center"/>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656CF6" w:rsidRPr="00656CF6" w:rsidRDefault="00656CF6" w:rsidP="00656CF6">
            <w:pPr>
              <w:spacing w:after="0" w:line="240" w:lineRule="auto"/>
              <w:jc w:val="right"/>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 xml:space="preserve">Por precariedad en los ingresos </w:t>
            </w:r>
            <w:r w:rsidRPr="00656CF6">
              <w:rPr>
                <w:rFonts w:ascii="Calibri" w:eastAsia="Times New Roman" w:hAnsi="Calibri" w:cs="Calibri"/>
                <w:b/>
                <w:bCs/>
                <w:color w:val="000000"/>
                <w:sz w:val="20"/>
                <w:szCs w:val="20"/>
                <w:lang w:eastAsia="es-ES_tradnl"/>
              </w:rPr>
              <w:br/>
              <w:t>(ganan por debajo del salario mínimo por hora)</w:t>
            </w:r>
          </w:p>
        </w:tc>
        <w:tc>
          <w:tcPr>
            <w:tcW w:w="151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2.250.016</w:t>
            </w:r>
          </w:p>
        </w:tc>
        <w:tc>
          <w:tcPr>
            <w:tcW w:w="116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13,22%</w:t>
            </w:r>
          </w:p>
        </w:tc>
        <w:tc>
          <w:tcPr>
            <w:tcW w:w="135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2.836.465</w:t>
            </w:r>
          </w:p>
        </w:tc>
        <w:tc>
          <w:tcPr>
            <w:tcW w:w="104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b/>
                <w:bCs/>
                <w:color w:val="000000"/>
                <w:sz w:val="20"/>
                <w:szCs w:val="20"/>
                <w:lang w:eastAsia="es-ES_tradnl"/>
              </w:rPr>
            </w:pPr>
            <w:r w:rsidRPr="00656CF6">
              <w:rPr>
                <w:rFonts w:ascii="Calibri" w:eastAsia="Times New Roman" w:hAnsi="Calibri" w:cs="Calibri"/>
                <w:b/>
                <w:bCs/>
                <w:color w:val="000000"/>
                <w:sz w:val="20"/>
                <w:szCs w:val="20"/>
                <w:lang w:eastAsia="es-ES_tradnl"/>
              </w:rPr>
              <w:t>15,92%</w:t>
            </w:r>
          </w:p>
        </w:tc>
        <w:tc>
          <w:tcPr>
            <w:tcW w:w="1200"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right"/>
              <w:rPr>
                <w:rFonts w:ascii="Arial Narrow" w:eastAsia="Times New Roman" w:hAnsi="Arial Narrow" w:cs="Calibri"/>
                <w:b/>
                <w:bCs/>
                <w:color w:val="000000"/>
                <w:sz w:val="20"/>
                <w:szCs w:val="20"/>
                <w:lang w:eastAsia="es-ES_tradnl"/>
              </w:rPr>
            </w:pPr>
            <w:r w:rsidRPr="00656CF6">
              <w:rPr>
                <w:rFonts w:ascii="Arial Narrow" w:eastAsia="Times New Roman" w:hAnsi="Arial Narrow" w:cs="Calibri"/>
                <w:b/>
                <w:bCs/>
                <w:color w:val="000000"/>
                <w:sz w:val="20"/>
                <w:szCs w:val="20"/>
                <w:lang w:eastAsia="es-ES_tradnl"/>
              </w:rPr>
              <w:t>586.449</w:t>
            </w:r>
          </w:p>
        </w:tc>
      </w:tr>
      <w:tr w:rsidR="00656CF6" w:rsidRPr="00656CF6" w:rsidTr="000B2C39">
        <w:trPr>
          <w:trHeight w:val="255"/>
          <w:jc w:val="center"/>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656CF6" w:rsidRPr="00656CF6" w:rsidRDefault="00656CF6" w:rsidP="00656CF6">
            <w:pPr>
              <w:spacing w:after="0" w:line="240" w:lineRule="auto"/>
              <w:jc w:val="right"/>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Cuenta Propia</w:t>
            </w:r>
          </w:p>
        </w:tc>
        <w:tc>
          <w:tcPr>
            <w:tcW w:w="151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1.476.154</w:t>
            </w:r>
          </w:p>
        </w:tc>
        <w:tc>
          <w:tcPr>
            <w:tcW w:w="116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8,67%</w:t>
            </w:r>
          </w:p>
        </w:tc>
        <w:tc>
          <w:tcPr>
            <w:tcW w:w="135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1.803.714</w:t>
            </w:r>
          </w:p>
        </w:tc>
        <w:tc>
          <w:tcPr>
            <w:tcW w:w="104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10,12%</w:t>
            </w:r>
          </w:p>
        </w:tc>
        <w:tc>
          <w:tcPr>
            <w:tcW w:w="1200"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right"/>
              <w:rPr>
                <w:rFonts w:ascii="Arial Narrow" w:eastAsia="Times New Roman" w:hAnsi="Arial Narrow" w:cs="Calibri"/>
                <w:color w:val="000000"/>
                <w:sz w:val="20"/>
                <w:szCs w:val="20"/>
                <w:lang w:eastAsia="es-ES_tradnl"/>
              </w:rPr>
            </w:pPr>
            <w:r w:rsidRPr="00656CF6">
              <w:rPr>
                <w:rFonts w:ascii="Arial Narrow" w:eastAsia="Times New Roman" w:hAnsi="Arial Narrow" w:cs="Calibri"/>
                <w:color w:val="000000"/>
                <w:sz w:val="20"/>
                <w:szCs w:val="20"/>
                <w:lang w:eastAsia="es-ES_tradnl"/>
              </w:rPr>
              <w:t>327.560</w:t>
            </w:r>
          </w:p>
        </w:tc>
      </w:tr>
      <w:tr w:rsidR="00656CF6" w:rsidRPr="00656CF6" w:rsidTr="000B2C39">
        <w:trPr>
          <w:trHeight w:val="255"/>
          <w:jc w:val="center"/>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656CF6" w:rsidRPr="00656CF6" w:rsidRDefault="00656CF6" w:rsidP="00656CF6">
            <w:pPr>
              <w:spacing w:after="0" w:line="240" w:lineRule="auto"/>
              <w:jc w:val="right"/>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Asalariados Registrados (Permanentes)</w:t>
            </w:r>
          </w:p>
        </w:tc>
        <w:tc>
          <w:tcPr>
            <w:tcW w:w="151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773.862</w:t>
            </w:r>
          </w:p>
        </w:tc>
        <w:tc>
          <w:tcPr>
            <w:tcW w:w="116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4,55%</w:t>
            </w:r>
          </w:p>
        </w:tc>
        <w:tc>
          <w:tcPr>
            <w:tcW w:w="1356"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1.032.750</w:t>
            </w:r>
          </w:p>
        </w:tc>
        <w:tc>
          <w:tcPr>
            <w:tcW w:w="1044"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center"/>
              <w:rPr>
                <w:rFonts w:ascii="Calibri" w:eastAsia="Times New Roman" w:hAnsi="Calibri" w:cs="Calibri"/>
                <w:color w:val="000000"/>
                <w:sz w:val="20"/>
                <w:szCs w:val="20"/>
                <w:lang w:eastAsia="es-ES_tradnl"/>
              </w:rPr>
            </w:pPr>
            <w:r w:rsidRPr="00656CF6">
              <w:rPr>
                <w:rFonts w:ascii="Calibri" w:eastAsia="Times New Roman" w:hAnsi="Calibri" w:cs="Calibri"/>
                <w:color w:val="000000"/>
                <w:sz w:val="20"/>
                <w:szCs w:val="20"/>
                <w:lang w:eastAsia="es-ES_tradnl"/>
              </w:rPr>
              <w:t>5,80%</w:t>
            </w:r>
          </w:p>
        </w:tc>
        <w:tc>
          <w:tcPr>
            <w:tcW w:w="1200" w:type="dxa"/>
            <w:tcBorders>
              <w:top w:val="nil"/>
              <w:left w:val="nil"/>
              <w:bottom w:val="single" w:sz="4" w:space="0" w:color="auto"/>
              <w:right w:val="single" w:sz="4" w:space="0" w:color="auto"/>
            </w:tcBorders>
            <w:shd w:val="clear" w:color="auto" w:fill="auto"/>
            <w:noWrap/>
            <w:vAlign w:val="bottom"/>
            <w:hideMark/>
          </w:tcPr>
          <w:p w:rsidR="00656CF6" w:rsidRPr="00656CF6" w:rsidRDefault="00656CF6" w:rsidP="00656CF6">
            <w:pPr>
              <w:spacing w:after="0" w:line="240" w:lineRule="auto"/>
              <w:jc w:val="right"/>
              <w:rPr>
                <w:rFonts w:ascii="Arial Narrow" w:eastAsia="Times New Roman" w:hAnsi="Arial Narrow" w:cs="Calibri"/>
                <w:color w:val="000000"/>
                <w:sz w:val="20"/>
                <w:szCs w:val="20"/>
                <w:lang w:eastAsia="es-ES_tradnl"/>
              </w:rPr>
            </w:pPr>
            <w:r w:rsidRPr="00656CF6">
              <w:rPr>
                <w:rFonts w:ascii="Arial Narrow" w:eastAsia="Times New Roman" w:hAnsi="Arial Narrow" w:cs="Calibri"/>
                <w:color w:val="000000"/>
                <w:sz w:val="20"/>
                <w:szCs w:val="20"/>
                <w:lang w:eastAsia="es-ES_tradnl"/>
              </w:rPr>
              <w:t>258.888</w:t>
            </w:r>
          </w:p>
        </w:tc>
      </w:tr>
    </w:tbl>
    <w:p w:rsidR="00E61111" w:rsidRDefault="00E61111" w:rsidP="00E61111">
      <w:pPr>
        <w:jc w:val="center"/>
        <w:rPr>
          <w:sz w:val="20"/>
          <w:szCs w:val="20"/>
        </w:rPr>
      </w:pPr>
      <w:r w:rsidRPr="00404CC7">
        <w:rPr>
          <w:sz w:val="20"/>
          <w:szCs w:val="20"/>
        </w:rPr>
        <w:t>Fuente: Elaboración propia en base a EPH – INDEC.</w:t>
      </w:r>
    </w:p>
    <w:p w:rsidR="00656CF6" w:rsidRDefault="00656CF6" w:rsidP="001F4F27">
      <w:pPr>
        <w:jc w:val="both"/>
        <w:rPr>
          <w:sz w:val="20"/>
          <w:szCs w:val="20"/>
        </w:rPr>
      </w:pPr>
    </w:p>
    <w:p w:rsidR="00FE6C6B" w:rsidRPr="00E61111" w:rsidRDefault="00FE6C6B" w:rsidP="00FE6C6B">
      <w:pPr>
        <w:jc w:val="both"/>
      </w:pPr>
      <w:r w:rsidRPr="00E61111">
        <w:t xml:space="preserve">Cuadro: Evolución </w:t>
      </w:r>
      <w:r>
        <w:t>del empleo registrado según categorías</w:t>
      </w:r>
      <w:r w:rsidRPr="00E61111">
        <w:t>. 2015 – 2016.</w:t>
      </w:r>
    </w:p>
    <w:tbl>
      <w:tblPr>
        <w:tblW w:w="9737" w:type="dxa"/>
        <w:jc w:val="center"/>
        <w:tblCellMar>
          <w:left w:w="70" w:type="dxa"/>
          <w:right w:w="70" w:type="dxa"/>
        </w:tblCellMar>
        <w:tblLook w:val="04A0"/>
      </w:tblPr>
      <w:tblGrid>
        <w:gridCol w:w="929"/>
        <w:gridCol w:w="1102"/>
        <w:gridCol w:w="1102"/>
        <w:gridCol w:w="1127"/>
        <w:gridCol w:w="1439"/>
        <w:gridCol w:w="1439"/>
        <w:gridCol w:w="1439"/>
        <w:gridCol w:w="1160"/>
      </w:tblGrid>
      <w:tr w:rsidR="00E21261" w:rsidRPr="00E21261" w:rsidTr="00FE6C6B">
        <w:trPr>
          <w:trHeight w:val="39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E21261" w:rsidRPr="00E21261" w:rsidRDefault="00E21261" w:rsidP="00E21261">
            <w:pPr>
              <w:spacing w:after="0" w:line="240" w:lineRule="auto"/>
              <w:jc w:val="center"/>
              <w:rPr>
                <w:rFonts w:ascii="Calibri" w:eastAsia="Times New Roman" w:hAnsi="Calibri" w:cs="Calibri"/>
                <w:b/>
                <w:bCs/>
                <w:color w:val="FFFFFF"/>
                <w:sz w:val="20"/>
                <w:szCs w:val="20"/>
                <w:lang w:eastAsia="es-ES_tradnl"/>
              </w:rPr>
            </w:pPr>
            <w:r w:rsidRPr="00E21261">
              <w:rPr>
                <w:rFonts w:ascii="Calibri" w:eastAsia="Times New Roman" w:hAnsi="Calibri" w:cs="Calibri"/>
                <w:b/>
                <w:bCs/>
                <w:color w:val="FFFFFF"/>
                <w:sz w:val="20"/>
                <w:szCs w:val="20"/>
                <w:lang w:eastAsia="es-ES_tradnl"/>
              </w:rPr>
              <w:t>Período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E21261" w:rsidRPr="00E21261" w:rsidRDefault="00E21261" w:rsidP="00E21261">
            <w:pPr>
              <w:spacing w:after="0" w:line="240" w:lineRule="auto"/>
              <w:jc w:val="center"/>
              <w:rPr>
                <w:rFonts w:ascii="Calibri" w:eastAsia="Times New Roman" w:hAnsi="Calibri" w:cs="Calibri"/>
                <w:b/>
                <w:bCs/>
                <w:color w:val="FFFFFF"/>
                <w:sz w:val="20"/>
                <w:szCs w:val="20"/>
                <w:lang w:eastAsia="es-ES_tradnl"/>
              </w:rPr>
            </w:pPr>
            <w:r w:rsidRPr="00E21261">
              <w:rPr>
                <w:rFonts w:ascii="Calibri" w:eastAsia="Times New Roman" w:hAnsi="Calibri" w:cs="Calibri"/>
                <w:b/>
                <w:bCs/>
                <w:color w:val="FFFFFF"/>
                <w:sz w:val="20"/>
                <w:szCs w:val="20"/>
                <w:lang w:eastAsia="es-ES_tradnl"/>
              </w:rPr>
              <w:t>Asalariados Privados</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E21261" w:rsidRPr="00E21261" w:rsidRDefault="00E21261" w:rsidP="00E21261">
            <w:pPr>
              <w:spacing w:after="0" w:line="240" w:lineRule="auto"/>
              <w:jc w:val="center"/>
              <w:rPr>
                <w:rFonts w:ascii="Calibri" w:eastAsia="Times New Roman" w:hAnsi="Calibri" w:cs="Calibri"/>
                <w:b/>
                <w:bCs/>
                <w:color w:val="FFFFFF"/>
                <w:sz w:val="20"/>
                <w:szCs w:val="20"/>
                <w:lang w:eastAsia="es-ES_tradnl"/>
              </w:rPr>
            </w:pPr>
            <w:r w:rsidRPr="00E21261">
              <w:rPr>
                <w:rFonts w:ascii="Calibri" w:eastAsia="Times New Roman" w:hAnsi="Calibri" w:cs="Calibri"/>
                <w:b/>
                <w:bCs/>
                <w:color w:val="FFFFFF"/>
                <w:sz w:val="20"/>
                <w:szCs w:val="20"/>
                <w:lang w:eastAsia="es-ES_tradnl"/>
              </w:rPr>
              <w:t>Asalariados públicos</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E21261" w:rsidRPr="00E21261" w:rsidRDefault="00E21261" w:rsidP="00E21261">
            <w:pPr>
              <w:spacing w:after="0" w:line="240" w:lineRule="auto"/>
              <w:jc w:val="center"/>
              <w:rPr>
                <w:rFonts w:ascii="Calibri" w:eastAsia="Times New Roman" w:hAnsi="Calibri" w:cs="Calibri"/>
                <w:b/>
                <w:bCs/>
                <w:color w:val="FFFFFF"/>
                <w:sz w:val="20"/>
                <w:szCs w:val="20"/>
                <w:lang w:eastAsia="es-ES_tradnl"/>
              </w:rPr>
            </w:pPr>
            <w:r w:rsidRPr="00E21261">
              <w:rPr>
                <w:rFonts w:ascii="Calibri" w:eastAsia="Times New Roman" w:hAnsi="Calibri" w:cs="Calibri"/>
                <w:b/>
                <w:bCs/>
                <w:color w:val="FFFFFF"/>
                <w:sz w:val="20"/>
                <w:szCs w:val="20"/>
                <w:lang w:eastAsia="es-ES_tradnl"/>
              </w:rPr>
              <w:t xml:space="preserve">Asalariados de casas particulares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E21261" w:rsidRPr="00E21261" w:rsidRDefault="00E21261" w:rsidP="00E21261">
            <w:pPr>
              <w:spacing w:after="0" w:line="240" w:lineRule="auto"/>
              <w:jc w:val="center"/>
              <w:rPr>
                <w:rFonts w:ascii="Calibri" w:eastAsia="Times New Roman" w:hAnsi="Calibri" w:cs="Calibri"/>
                <w:b/>
                <w:bCs/>
                <w:color w:val="FFFFFF"/>
                <w:sz w:val="20"/>
                <w:szCs w:val="20"/>
                <w:lang w:eastAsia="es-ES_tradnl"/>
              </w:rPr>
            </w:pPr>
            <w:r w:rsidRPr="00E21261">
              <w:rPr>
                <w:rFonts w:ascii="Calibri" w:eastAsia="Times New Roman" w:hAnsi="Calibri" w:cs="Calibri"/>
                <w:b/>
                <w:bCs/>
                <w:color w:val="FFFFFF"/>
                <w:sz w:val="20"/>
                <w:szCs w:val="20"/>
                <w:lang w:eastAsia="es-ES_tradnl"/>
              </w:rPr>
              <w:t xml:space="preserve">Independientes Autónomos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E21261" w:rsidRPr="00E21261" w:rsidRDefault="00E21261" w:rsidP="00E21261">
            <w:pPr>
              <w:spacing w:after="0" w:line="240" w:lineRule="auto"/>
              <w:jc w:val="center"/>
              <w:rPr>
                <w:rFonts w:ascii="Calibri" w:eastAsia="Times New Roman" w:hAnsi="Calibri" w:cs="Calibri"/>
                <w:b/>
                <w:bCs/>
                <w:color w:val="FFFFFF"/>
                <w:sz w:val="20"/>
                <w:szCs w:val="20"/>
                <w:lang w:eastAsia="es-ES_tradnl"/>
              </w:rPr>
            </w:pPr>
            <w:r w:rsidRPr="00E21261">
              <w:rPr>
                <w:rFonts w:ascii="Calibri" w:eastAsia="Times New Roman" w:hAnsi="Calibri" w:cs="Calibri"/>
                <w:b/>
                <w:bCs/>
                <w:color w:val="FFFFFF"/>
                <w:sz w:val="20"/>
                <w:szCs w:val="20"/>
                <w:lang w:eastAsia="es-ES_tradnl"/>
              </w:rPr>
              <w:t>Independientes Monotributo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E21261" w:rsidRPr="00E21261" w:rsidRDefault="00E21261" w:rsidP="00E21261">
            <w:pPr>
              <w:spacing w:after="0" w:line="240" w:lineRule="auto"/>
              <w:jc w:val="center"/>
              <w:rPr>
                <w:rFonts w:ascii="Calibri" w:eastAsia="Times New Roman" w:hAnsi="Calibri" w:cs="Calibri"/>
                <w:b/>
                <w:bCs/>
                <w:color w:val="FFFFFF"/>
                <w:sz w:val="20"/>
                <w:szCs w:val="20"/>
                <w:lang w:eastAsia="es-ES_tradnl"/>
              </w:rPr>
            </w:pPr>
            <w:r w:rsidRPr="00E21261">
              <w:rPr>
                <w:rFonts w:ascii="Calibri" w:eastAsia="Times New Roman" w:hAnsi="Calibri" w:cs="Calibri"/>
                <w:b/>
                <w:bCs/>
                <w:color w:val="FFFFFF"/>
                <w:sz w:val="20"/>
                <w:szCs w:val="20"/>
                <w:lang w:eastAsia="es-ES_tradnl"/>
              </w:rPr>
              <w:t>Independientes Monotributo</w:t>
            </w:r>
            <w:r w:rsidRPr="00E21261">
              <w:rPr>
                <w:rFonts w:ascii="Calibri" w:eastAsia="Times New Roman" w:hAnsi="Calibri" w:cs="Calibri"/>
                <w:b/>
                <w:bCs/>
                <w:color w:val="FFFFFF"/>
                <w:sz w:val="20"/>
                <w:szCs w:val="20"/>
                <w:lang w:eastAsia="es-ES_tradnl"/>
              </w:rPr>
              <w:br/>
              <w:t xml:space="preserve">Social </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E21261" w:rsidRPr="00E21261" w:rsidRDefault="00E21261" w:rsidP="00E21261">
            <w:pPr>
              <w:spacing w:after="0" w:line="240" w:lineRule="auto"/>
              <w:jc w:val="center"/>
              <w:rPr>
                <w:rFonts w:ascii="Calibri" w:eastAsia="Times New Roman" w:hAnsi="Calibri" w:cs="Calibri"/>
                <w:b/>
                <w:bCs/>
                <w:color w:val="FFFFFF"/>
                <w:sz w:val="20"/>
                <w:szCs w:val="20"/>
                <w:lang w:eastAsia="es-ES_tradnl"/>
              </w:rPr>
            </w:pPr>
            <w:r w:rsidRPr="00E21261">
              <w:rPr>
                <w:rFonts w:ascii="Calibri" w:eastAsia="Times New Roman" w:hAnsi="Calibri" w:cs="Calibri"/>
                <w:b/>
                <w:bCs/>
                <w:color w:val="FFFFFF"/>
                <w:sz w:val="20"/>
                <w:szCs w:val="20"/>
                <w:lang w:eastAsia="es-ES_tradnl"/>
              </w:rPr>
              <w:t xml:space="preserve">Total </w:t>
            </w:r>
          </w:p>
        </w:tc>
      </w:tr>
      <w:tr w:rsidR="00E21261" w:rsidRPr="00E21261" w:rsidTr="00FE6C6B">
        <w:trPr>
          <w:trHeight w:val="4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21261" w:rsidRPr="00E21261" w:rsidRDefault="00E21261" w:rsidP="00E21261">
            <w:pPr>
              <w:spacing w:after="0" w:line="240" w:lineRule="auto"/>
              <w:rPr>
                <w:rFonts w:ascii="Calibri" w:eastAsia="Times New Roman" w:hAnsi="Calibri" w:cs="Calibri"/>
                <w:b/>
                <w:bCs/>
                <w:color w:val="FFFFFF"/>
                <w:sz w:val="20"/>
                <w:szCs w:val="20"/>
                <w:lang w:eastAsia="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21261" w:rsidRPr="00E21261" w:rsidRDefault="00E21261" w:rsidP="00E21261">
            <w:pPr>
              <w:spacing w:after="0" w:line="240" w:lineRule="auto"/>
              <w:rPr>
                <w:rFonts w:ascii="Calibri" w:eastAsia="Times New Roman" w:hAnsi="Calibri" w:cs="Calibri"/>
                <w:b/>
                <w:bCs/>
                <w:color w:val="FFFFFF"/>
                <w:sz w:val="20"/>
                <w:szCs w:val="20"/>
                <w:lang w:eastAsia="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21261" w:rsidRPr="00E21261" w:rsidRDefault="00E21261" w:rsidP="00E21261">
            <w:pPr>
              <w:spacing w:after="0" w:line="240" w:lineRule="auto"/>
              <w:rPr>
                <w:rFonts w:ascii="Calibri" w:eastAsia="Times New Roman" w:hAnsi="Calibri" w:cs="Calibri"/>
                <w:b/>
                <w:bCs/>
                <w:color w:val="FFFFFF"/>
                <w:sz w:val="20"/>
                <w:szCs w:val="20"/>
                <w:lang w:eastAsia="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21261" w:rsidRPr="00E21261" w:rsidRDefault="00E21261" w:rsidP="00E21261">
            <w:pPr>
              <w:spacing w:after="0" w:line="240" w:lineRule="auto"/>
              <w:rPr>
                <w:rFonts w:ascii="Calibri" w:eastAsia="Times New Roman" w:hAnsi="Calibri" w:cs="Calibri"/>
                <w:b/>
                <w:bCs/>
                <w:color w:val="FFFFFF"/>
                <w:sz w:val="20"/>
                <w:szCs w:val="20"/>
                <w:lang w:eastAsia="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21261" w:rsidRPr="00E21261" w:rsidRDefault="00E21261" w:rsidP="00E21261">
            <w:pPr>
              <w:spacing w:after="0" w:line="240" w:lineRule="auto"/>
              <w:rPr>
                <w:rFonts w:ascii="Calibri" w:eastAsia="Times New Roman" w:hAnsi="Calibri" w:cs="Calibri"/>
                <w:b/>
                <w:bCs/>
                <w:color w:val="FFFFFF"/>
                <w:sz w:val="20"/>
                <w:szCs w:val="20"/>
                <w:lang w:eastAsia="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21261" w:rsidRPr="00E21261" w:rsidRDefault="00E21261" w:rsidP="00E21261">
            <w:pPr>
              <w:spacing w:after="0" w:line="240" w:lineRule="auto"/>
              <w:rPr>
                <w:rFonts w:ascii="Calibri" w:eastAsia="Times New Roman" w:hAnsi="Calibri" w:cs="Calibri"/>
                <w:b/>
                <w:bCs/>
                <w:color w:val="FFFFFF"/>
                <w:sz w:val="20"/>
                <w:szCs w:val="20"/>
                <w:lang w:eastAsia="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21261" w:rsidRPr="00E21261" w:rsidRDefault="00E21261" w:rsidP="00E21261">
            <w:pPr>
              <w:spacing w:after="0" w:line="240" w:lineRule="auto"/>
              <w:rPr>
                <w:rFonts w:ascii="Calibri" w:eastAsia="Times New Roman" w:hAnsi="Calibri" w:cs="Calibri"/>
                <w:b/>
                <w:bCs/>
                <w:color w:val="FFFFFF"/>
                <w:sz w:val="20"/>
                <w:szCs w:val="20"/>
                <w:lang w:eastAsia="es-ES_tradnl"/>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E21261" w:rsidRPr="00E21261" w:rsidRDefault="00E21261" w:rsidP="00E21261">
            <w:pPr>
              <w:spacing w:after="0" w:line="240" w:lineRule="auto"/>
              <w:rPr>
                <w:rFonts w:ascii="Calibri" w:eastAsia="Times New Roman" w:hAnsi="Calibri" w:cs="Calibri"/>
                <w:b/>
                <w:bCs/>
                <w:color w:val="FFFFFF"/>
                <w:sz w:val="20"/>
                <w:szCs w:val="20"/>
                <w:lang w:eastAsia="es-ES_tradnl"/>
              </w:rPr>
            </w:pPr>
          </w:p>
        </w:tc>
      </w:tr>
      <w:tr w:rsidR="00E21261" w:rsidRPr="00E21261" w:rsidTr="00FE6C6B">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b/>
                <w:bCs/>
                <w:sz w:val="20"/>
                <w:szCs w:val="20"/>
                <w:lang w:eastAsia="es-ES_tradnl"/>
              </w:rPr>
            </w:pPr>
            <w:r w:rsidRPr="00E21261">
              <w:rPr>
                <w:rFonts w:ascii="Calibri" w:eastAsia="Times New Roman" w:hAnsi="Calibri" w:cs="Calibri"/>
                <w:b/>
                <w:bCs/>
                <w:sz w:val="20"/>
                <w:szCs w:val="20"/>
                <w:lang w:eastAsia="es-ES_tradnl"/>
              </w:rPr>
              <w:t>dic-15</w:t>
            </w:r>
          </w:p>
        </w:tc>
        <w:tc>
          <w:tcPr>
            <w:tcW w:w="0" w:type="auto"/>
            <w:tcBorders>
              <w:top w:val="nil"/>
              <w:left w:val="nil"/>
              <w:bottom w:val="single" w:sz="4"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sz w:val="20"/>
                <w:szCs w:val="20"/>
                <w:lang w:eastAsia="es-ES_tradnl"/>
              </w:rPr>
            </w:pPr>
            <w:r w:rsidRPr="00E21261">
              <w:rPr>
                <w:rFonts w:ascii="Calibri" w:eastAsia="Times New Roman" w:hAnsi="Calibri" w:cs="Calibri"/>
                <w:sz w:val="20"/>
                <w:szCs w:val="20"/>
                <w:lang w:eastAsia="es-ES_tradnl"/>
              </w:rPr>
              <w:t>6.246.526</w:t>
            </w:r>
          </w:p>
        </w:tc>
        <w:tc>
          <w:tcPr>
            <w:tcW w:w="0" w:type="auto"/>
            <w:tcBorders>
              <w:top w:val="nil"/>
              <w:left w:val="nil"/>
              <w:bottom w:val="single" w:sz="4"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sz w:val="20"/>
                <w:szCs w:val="20"/>
                <w:lang w:eastAsia="es-ES_tradnl"/>
              </w:rPr>
            </w:pPr>
            <w:r w:rsidRPr="00E21261">
              <w:rPr>
                <w:rFonts w:ascii="Calibri" w:eastAsia="Times New Roman" w:hAnsi="Calibri" w:cs="Calibri"/>
                <w:sz w:val="20"/>
                <w:szCs w:val="20"/>
                <w:lang w:eastAsia="es-ES_tradnl"/>
              </w:rPr>
              <w:t>3.124.699</w:t>
            </w:r>
          </w:p>
        </w:tc>
        <w:tc>
          <w:tcPr>
            <w:tcW w:w="0" w:type="auto"/>
            <w:tcBorders>
              <w:top w:val="nil"/>
              <w:left w:val="nil"/>
              <w:bottom w:val="single" w:sz="4"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sz w:val="20"/>
                <w:szCs w:val="20"/>
                <w:lang w:eastAsia="es-ES_tradnl"/>
              </w:rPr>
            </w:pPr>
            <w:r w:rsidRPr="00E21261">
              <w:rPr>
                <w:rFonts w:ascii="Calibri" w:eastAsia="Times New Roman" w:hAnsi="Calibri" w:cs="Calibri"/>
                <w:sz w:val="20"/>
                <w:szCs w:val="20"/>
                <w:lang w:eastAsia="es-ES_tradnl"/>
              </w:rPr>
              <w:t>442.710</w:t>
            </w:r>
          </w:p>
        </w:tc>
        <w:tc>
          <w:tcPr>
            <w:tcW w:w="0" w:type="auto"/>
            <w:tcBorders>
              <w:top w:val="nil"/>
              <w:left w:val="nil"/>
              <w:bottom w:val="single" w:sz="4"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sz w:val="20"/>
                <w:szCs w:val="20"/>
                <w:lang w:eastAsia="es-ES_tradnl"/>
              </w:rPr>
            </w:pPr>
            <w:r w:rsidRPr="00E21261">
              <w:rPr>
                <w:rFonts w:ascii="Calibri" w:eastAsia="Times New Roman" w:hAnsi="Calibri" w:cs="Calibri"/>
                <w:sz w:val="20"/>
                <w:szCs w:val="20"/>
                <w:lang w:eastAsia="es-ES_tradnl"/>
              </w:rPr>
              <w:t>405.766</w:t>
            </w:r>
          </w:p>
        </w:tc>
        <w:tc>
          <w:tcPr>
            <w:tcW w:w="0" w:type="auto"/>
            <w:tcBorders>
              <w:top w:val="nil"/>
              <w:left w:val="nil"/>
              <w:bottom w:val="single" w:sz="4"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sz w:val="20"/>
                <w:szCs w:val="20"/>
                <w:lang w:eastAsia="es-ES_tradnl"/>
              </w:rPr>
            </w:pPr>
            <w:r w:rsidRPr="00E21261">
              <w:rPr>
                <w:rFonts w:ascii="Calibri" w:eastAsia="Times New Roman" w:hAnsi="Calibri" w:cs="Calibri"/>
                <w:sz w:val="20"/>
                <w:szCs w:val="20"/>
                <w:lang w:eastAsia="es-ES_tradnl"/>
              </w:rPr>
              <w:t>1.446.308</w:t>
            </w:r>
          </w:p>
        </w:tc>
        <w:tc>
          <w:tcPr>
            <w:tcW w:w="0" w:type="auto"/>
            <w:tcBorders>
              <w:top w:val="nil"/>
              <w:left w:val="nil"/>
              <w:bottom w:val="single" w:sz="4"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sz w:val="20"/>
                <w:szCs w:val="20"/>
                <w:lang w:eastAsia="es-ES_tradnl"/>
              </w:rPr>
            </w:pPr>
            <w:r w:rsidRPr="00E21261">
              <w:rPr>
                <w:rFonts w:ascii="Calibri" w:eastAsia="Times New Roman" w:hAnsi="Calibri" w:cs="Calibri"/>
                <w:sz w:val="20"/>
                <w:szCs w:val="20"/>
                <w:lang w:eastAsia="es-ES_tradnl"/>
              </w:rPr>
              <w:t>352.947</w:t>
            </w:r>
          </w:p>
        </w:tc>
        <w:tc>
          <w:tcPr>
            <w:tcW w:w="1160" w:type="dxa"/>
            <w:tcBorders>
              <w:top w:val="nil"/>
              <w:left w:val="nil"/>
              <w:bottom w:val="single" w:sz="4"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b/>
                <w:bCs/>
                <w:sz w:val="20"/>
                <w:szCs w:val="20"/>
                <w:lang w:eastAsia="es-ES_tradnl"/>
              </w:rPr>
            </w:pPr>
            <w:r w:rsidRPr="00E21261">
              <w:rPr>
                <w:rFonts w:ascii="Calibri" w:eastAsia="Times New Roman" w:hAnsi="Calibri" w:cs="Calibri"/>
                <w:b/>
                <w:bCs/>
                <w:sz w:val="20"/>
                <w:szCs w:val="20"/>
                <w:lang w:eastAsia="es-ES_tradnl"/>
              </w:rPr>
              <w:t>12.018.956</w:t>
            </w:r>
          </w:p>
        </w:tc>
      </w:tr>
      <w:tr w:rsidR="00E21261" w:rsidRPr="00E21261" w:rsidTr="00FE6C6B">
        <w:trPr>
          <w:trHeight w:val="315"/>
          <w:jc w:val="center"/>
        </w:trPr>
        <w:tc>
          <w:tcPr>
            <w:tcW w:w="0" w:type="auto"/>
            <w:tcBorders>
              <w:top w:val="nil"/>
              <w:left w:val="single" w:sz="4" w:space="0" w:color="auto"/>
              <w:bottom w:val="double" w:sz="6"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b/>
                <w:bCs/>
                <w:sz w:val="20"/>
                <w:szCs w:val="20"/>
                <w:lang w:eastAsia="es-ES_tradnl"/>
              </w:rPr>
            </w:pPr>
            <w:r w:rsidRPr="00E21261">
              <w:rPr>
                <w:rFonts w:ascii="Calibri" w:eastAsia="Times New Roman" w:hAnsi="Calibri" w:cs="Calibri"/>
                <w:b/>
                <w:bCs/>
                <w:sz w:val="20"/>
                <w:szCs w:val="20"/>
                <w:lang w:eastAsia="es-ES_tradnl"/>
              </w:rPr>
              <w:t>dic-16*</w:t>
            </w:r>
          </w:p>
        </w:tc>
        <w:tc>
          <w:tcPr>
            <w:tcW w:w="0" w:type="auto"/>
            <w:tcBorders>
              <w:top w:val="nil"/>
              <w:left w:val="nil"/>
              <w:bottom w:val="double" w:sz="6"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sz w:val="20"/>
                <w:szCs w:val="20"/>
                <w:lang w:eastAsia="es-ES_tradnl"/>
              </w:rPr>
            </w:pPr>
            <w:r w:rsidRPr="00E21261">
              <w:rPr>
                <w:rFonts w:ascii="Calibri" w:eastAsia="Times New Roman" w:hAnsi="Calibri" w:cs="Calibri"/>
                <w:sz w:val="20"/>
                <w:szCs w:val="20"/>
                <w:lang w:eastAsia="es-ES_tradnl"/>
              </w:rPr>
              <w:t>6.200.370</w:t>
            </w:r>
          </w:p>
        </w:tc>
        <w:tc>
          <w:tcPr>
            <w:tcW w:w="0" w:type="auto"/>
            <w:tcBorders>
              <w:top w:val="nil"/>
              <w:left w:val="nil"/>
              <w:bottom w:val="double" w:sz="6"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sz w:val="20"/>
                <w:szCs w:val="20"/>
                <w:lang w:eastAsia="es-ES_tradnl"/>
              </w:rPr>
            </w:pPr>
            <w:r w:rsidRPr="00E21261">
              <w:rPr>
                <w:rFonts w:ascii="Calibri" w:eastAsia="Times New Roman" w:hAnsi="Calibri" w:cs="Calibri"/>
                <w:sz w:val="20"/>
                <w:szCs w:val="20"/>
                <w:lang w:eastAsia="es-ES_tradnl"/>
              </w:rPr>
              <w:t>3.153.568</w:t>
            </w:r>
          </w:p>
        </w:tc>
        <w:tc>
          <w:tcPr>
            <w:tcW w:w="0" w:type="auto"/>
            <w:tcBorders>
              <w:top w:val="nil"/>
              <w:left w:val="nil"/>
              <w:bottom w:val="double" w:sz="6"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sz w:val="20"/>
                <w:szCs w:val="20"/>
                <w:lang w:eastAsia="es-ES_tradnl"/>
              </w:rPr>
            </w:pPr>
            <w:r w:rsidRPr="00E21261">
              <w:rPr>
                <w:rFonts w:ascii="Calibri" w:eastAsia="Times New Roman" w:hAnsi="Calibri" w:cs="Calibri"/>
                <w:sz w:val="20"/>
                <w:szCs w:val="20"/>
                <w:lang w:eastAsia="es-ES_tradnl"/>
              </w:rPr>
              <w:t>456.266</w:t>
            </w:r>
          </w:p>
        </w:tc>
        <w:tc>
          <w:tcPr>
            <w:tcW w:w="0" w:type="auto"/>
            <w:tcBorders>
              <w:top w:val="nil"/>
              <w:left w:val="nil"/>
              <w:bottom w:val="double" w:sz="6"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sz w:val="20"/>
                <w:szCs w:val="20"/>
                <w:lang w:eastAsia="es-ES_tradnl"/>
              </w:rPr>
            </w:pPr>
            <w:r w:rsidRPr="00E21261">
              <w:rPr>
                <w:rFonts w:ascii="Calibri" w:eastAsia="Times New Roman" w:hAnsi="Calibri" w:cs="Calibri"/>
                <w:sz w:val="20"/>
                <w:szCs w:val="20"/>
                <w:lang w:eastAsia="es-ES_tradnl"/>
              </w:rPr>
              <w:t>415.265</w:t>
            </w:r>
          </w:p>
        </w:tc>
        <w:tc>
          <w:tcPr>
            <w:tcW w:w="0" w:type="auto"/>
            <w:tcBorders>
              <w:top w:val="nil"/>
              <w:left w:val="nil"/>
              <w:bottom w:val="double" w:sz="6"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sz w:val="20"/>
                <w:szCs w:val="20"/>
                <w:lang w:eastAsia="es-ES_tradnl"/>
              </w:rPr>
            </w:pPr>
            <w:r w:rsidRPr="00E21261">
              <w:rPr>
                <w:rFonts w:ascii="Calibri" w:eastAsia="Times New Roman" w:hAnsi="Calibri" w:cs="Calibri"/>
                <w:sz w:val="20"/>
                <w:szCs w:val="20"/>
                <w:lang w:eastAsia="es-ES_tradnl"/>
              </w:rPr>
              <w:t>1.484.588</w:t>
            </w:r>
          </w:p>
        </w:tc>
        <w:tc>
          <w:tcPr>
            <w:tcW w:w="0" w:type="auto"/>
            <w:tcBorders>
              <w:top w:val="nil"/>
              <w:left w:val="nil"/>
              <w:bottom w:val="double" w:sz="6"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sz w:val="20"/>
                <w:szCs w:val="20"/>
                <w:lang w:eastAsia="es-ES_tradnl"/>
              </w:rPr>
            </w:pPr>
            <w:r w:rsidRPr="00E21261">
              <w:rPr>
                <w:rFonts w:ascii="Calibri" w:eastAsia="Times New Roman" w:hAnsi="Calibri" w:cs="Calibri"/>
                <w:sz w:val="20"/>
                <w:szCs w:val="20"/>
                <w:lang w:eastAsia="es-ES_tradnl"/>
              </w:rPr>
              <w:t>380.706</w:t>
            </w:r>
          </w:p>
        </w:tc>
        <w:tc>
          <w:tcPr>
            <w:tcW w:w="1160" w:type="dxa"/>
            <w:tcBorders>
              <w:top w:val="nil"/>
              <w:left w:val="nil"/>
              <w:bottom w:val="double" w:sz="6" w:space="0" w:color="auto"/>
              <w:right w:val="single" w:sz="4" w:space="0" w:color="auto"/>
            </w:tcBorders>
            <w:shd w:val="clear" w:color="000000" w:fill="FFFFFF"/>
            <w:noWrap/>
            <w:vAlign w:val="center"/>
            <w:hideMark/>
          </w:tcPr>
          <w:p w:rsidR="00E21261" w:rsidRPr="00E21261" w:rsidRDefault="00E21261" w:rsidP="00E21261">
            <w:pPr>
              <w:spacing w:after="0" w:line="240" w:lineRule="auto"/>
              <w:jc w:val="center"/>
              <w:rPr>
                <w:rFonts w:ascii="Calibri" w:eastAsia="Times New Roman" w:hAnsi="Calibri" w:cs="Calibri"/>
                <w:b/>
                <w:bCs/>
                <w:sz w:val="20"/>
                <w:szCs w:val="20"/>
                <w:lang w:eastAsia="es-ES_tradnl"/>
              </w:rPr>
            </w:pPr>
            <w:r w:rsidRPr="00E21261">
              <w:rPr>
                <w:rFonts w:ascii="Calibri" w:eastAsia="Times New Roman" w:hAnsi="Calibri" w:cs="Calibri"/>
                <w:b/>
                <w:bCs/>
                <w:sz w:val="20"/>
                <w:szCs w:val="20"/>
                <w:lang w:eastAsia="es-ES_tradnl"/>
              </w:rPr>
              <w:t>12.090.763</w:t>
            </w:r>
          </w:p>
        </w:tc>
      </w:tr>
      <w:tr w:rsidR="00E21261" w:rsidRPr="00E21261" w:rsidTr="00FE6C6B">
        <w:trPr>
          <w:trHeight w:val="315"/>
          <w:jc w:val="center"/>
        </w:trPr>
        <w:tc>
          <w:tcPr>
            <w:tcW w:w="0" w:type="auto"/>
            <w:tcBorders>
              <w:top w:val="nil"/>
              <w:left w:val="single" w:sz="4" w:space="0" w:color="auto"/>
              <w:bottom w:val="dotDash"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b/>
                <w:bCs/>
                <w:color w:val="000000"/>
                <w:sz w:val="20"/>
                <w:szCs w:val="20"/>
                <w:lang w:eastAsia="es-ES_tradnl"/>
              </w:rPr>
            </w:pPr>
            <w:r w:rsidRPr="00E21261">
              <w:rPr>
                <w:rFonts w:ascii="Calibri" w:eastAsia="Times New Roman" w:hAnsi="Calibri" w:cs="Calibri"/>
                <w:b/>
                <w:bCs/>
                <w:color w:val="000000"/>
                <w:sz w:val="20"/>
                <w:szCs w:val="20"/>
                <w:lang w:eastAsia="es-ES_tradnl"/>
              </w:rPr>
              <w:t>Var %</w:t>
            </w:r>
          </w:p>
        </w:tc>
        <w:tc>
          <w:tcPr>
            <w:tcW w:w="0" w:type="auto"/>
            <w:tcBorders>
              <w:top w:val="nil"/>
              <w:left w:val="nil"/>
              <w:bottom w:val="dotDash"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b/>
                <w:bCs/>
                <w:color w:val="000000"/>
                <w:sz w:val="20"/>
                <w:szCs w:val="20"/>
                <w:lang w:eastAsia="es-ES_tradnl"/>
              </w:rPr>
            </w:pPr>
            <w:r w:rsidRPr="00E21261">
              <w:rPr>
                <w:rFonts w:ascii="Calibri" w:eastAsia="Times New Roman" w:hAnsi="Calibri" w:cs="Calibri"/>
                <w:b/>
                <w:bCs/>
                <w:color w:val="000000"/>
                <w:sz w:val="20"/>
                <w:szCs w:val="20"/>
                <w:lang w:eastAsia="es-ES_tradnl"/>
              </w:rPr>
              <w:t>-0,7%</w:t>
            </w:r>
          </w:p>
        </w:tc>
        <w:tc>
          <w:tcPr>
            <w:tcW w:w="0" w:type="auto"/>
            <w:tcBorders>
              <w:top w:val="nil"/>
              <w:left w:val="nil"/>
              <w:bottom w:val="dotDash"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b/>
                <w:bCs/>
                <w:color w:val="000000"/>
                <w:sz w:val="20"/>
                <w:szCs w:val="20"/>
                <w:lang w:eastAsia="es-ES_tradnl"/>
              </w:rPr>
            </w:pPr>
            <w:r w:rsidRPr="00E21261">
              <w:rPr>
                <w:rFonts w:ascii="Calibri" w:eastAsia="Times New Roman" w:hAnsi="Calibri" w:cs="Calibri"/>
                <w:b/>
                <w:bCs/>
                <w:color w:val="000000"/>
                <w:sz w:val="20"/>
                <w:szCs w:val="20"/>
                <w:lang w:eastAsia="es-ES_tradnl"/>
              </w:rPr>
              <w:t>0,9%</w:t>
            </w:r>
          </w:p>
        </w:tc>
        <w:tc>
          <w:tcPr>
            <w:tcW w:w="0" w:type="auto"/>
            <w:tcBorders>
              <w:top w:val="nil"/>
              <w:left w:val="nil"/>
              <w:bottom w:val="dotDash"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b/>
                <w:bCs/>
                <w:color w:val="000000"/>
                <w:sz w:val="20"/>
                <w:szCs w:val="20"/>
                <w:lang w:eastAsia="es-ES_tradnl"/>
              </w:rPr>
            </w:pPr>
            <w:r w:rsidRPr="00E21261">
              <w:rPr>
                <w:rFonts w:ascii="Calibri" w:eastAsia="Times New Roman" w:hAnsi="Calibri" w:cs="Calibri"/>
                <w:b/>
                <w:bCs/>
                <w:color w:val="000000"/>
                <w:sz w:val="20"/>
                <w:szCs w:val="20"/>
                <w:lang w:eastAsia="es-ES_tradnl"/>
              </w:rPr>
              <w:t>3,1%</w:t>
            </w:r>
          </w:p>
        </w:tc>
        <w:tc>
          <w:tcPr>
            <w:tcW w:w="0" w:type="auto"/>
            <w:tcBorders>
              <w:top w:val="nil"/>
              <w:left w:val="nil"/>
              <w:bottom w:val="dotDash"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b/>
                <w:bCs/>
                <w:color w:val="000000"/>
                <w:sz w:val="20"/>
                <w:szCs w:val="20"/>
                <w:lang w:eastAsia="es-ES_tradnl"/>
              </w:rPr>
            </w:pPr>
            <w:r w:rsidRPr="00E21261">
              <w:rPr>
                <w:rFonts w:ascii="Calibri" w:eastAsia="Times New Roman" w:hAnsi="Calibri" w:cs="Calibri"/>
                <w:b/>
                <w:bCs/>
                <w:color w:val="000000"/>
                <w:sz w:val="20"/>
                <w:szCs w:val="20"/>
                <w:lang w:eastAsia="es-ES_tradnl"/>
              </w:rPr>
              <w:t>2,3%</w:t>
            </w:r>
          </w:p>
        </w:tc>
        <w:tc>
          <w:tcPr>
            <w:tcW w:w="0" w:type="auto"/>
            <w:tcBorders>
              <w:top w:val="nil"/>
              <w:left w:val="nil"/>
              <w:bottom w:val="dotDash"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b/>
                <w:bCs/>
                <w:color w:val="000000"/>
                <w:sz w:val="20"/>
                <w:szCs w:val="20"/>
                <w:lang w:eastAsia="es-ES_tradnl"/>
              </w:rPr>
            </w:pPr>
            <w:r w:rsidRPr="00E21261">
              <w:rPr>
                <w:rFonts w:ascii="Calibri" w:eastAsia="Times New Roman" w:hAnsi="Calibri" w:cs="Calibri"/>
                <w:b/>
                <w:bCs/>
                <w:color w:val="000000"/>
                <w:sz w:val="20"/>
                <w:szCs w:val="20"/>
                <w:lang w:eastAsia="es-ES_tradnl"/>
              </w:rPr>
              <w:t>2,6%</w:t>
            </w:r>
          </w:p>
        </w:tc>
        <w:tc>
          <w:tcPr>
            <w:tcW w:w="0" w:type="auto"/>
            <w:tcBorders>
              <w:top w:val="nil"/>
              <w:left w:val="nil"/>
              <w:bottom w:val="dotDash"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b/>
                <w:bCs/>
                <w:color w:val="000000"/>
                <w:sz w:val="20"/>
                <w:szCs w:val="20"/>
                <w:lang w:eastAsia="es-ES_tradnl"/>
              </w:rPr>
            </w:pPr>
            <w:r w:rsidRPr="00E21261">
              <w:rPr>
                <w:rFonts w:ascii="Calibri" w:eastAsia="Times New Roman" w:hAnsi="Calibri" w:cs="Calibri"/>
                <w:b/>
                <w:bCs/>
                <w:color w:val="000000"/>
                <w:sz w:val="20"/>
                <w:szCs w:val="20"/>
                <w:lang w:eastAsia="es-ES_tradnl"/>
              </w:rPr>
              <w:t>7,9%</w:t>
            </w:r>
          </w:p>
        </w:tc>
        <w:tc>
          <w:tcPr>
            <w:tcW w:w="1160" w:type="dxa"/>
            <w:tcBorders>
              <w:top w:val="nil"/>
              <w:left w:val="nil"/>
              <w:bottom w:val="dotDash"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b/>
                <w:bCs/>
                <w:color w:val="000000"/>
                <w:sz w:val="20"/>
                <w:szCs w:val="20"/>
                <w:lang w:eastAsia="es-ES_tradnl"/>
              </w:rPr>
            </w:pPr>
            <w:r w:rsidRPr="00E21261">
              <w:rPr>
                <w:rFonts w:ascii="Calibri" w:eastAsia="Times New Roman" w:hAnsi="Calibri" w:cs="Calibri"/>
                <w:b/>
                <w:bCs/>
                <w:color w:val="000000"/>
                <w:sz w:val="20"/>
                <w:szCs w:val="20"/>
                <w:lang w:eastAsia="es-ES_tradnl"/>
              </w:rPr>
              <w:t>0,6%</w:t>
            </w:r>
          </w:p>
        </w:tc>
      </w:tr>
      <w:tr w:rsidR="00E21261" w:rsidRPr="00E21261" w:rsidTr="00FE6C6B">
        <w:trPr>
          <w:trHeight w:val="300"/>
          <w:jc w:val="center"/>
        </w:trPr>
        <w:tc>
          <w:tcPr>
            <w:tcW w:w="0" w:type="auto"/>
            <w:tcBorders>
              <w:top w:val="nil"/>
              <w:left w:val="single" w:sz="4" w:space="0" w:color="auto"/>
              <w:bottom w:val="single"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b/>
                <w:bCs/>
                <w:color w:val="000000"/>
                <w:sz w:val="20"/>
                <w:szCs w:val="20"/>
                <w:lang w:eastAsia="es-ES_tradnl"/>
              </w:rPr>
            </w:pPr>
            <w:r w:rsidRPr="00E21261">
              <w:rPr>
                <w:rFonts w:ascii="Calibri" w:eastAsia="Times New Roman" w:hAnsi="Calibri" w:cs="Calibri"/>
                <w:b/>
                <w:bCs/>
                <w:color w:val="000000"/>
                <w:sz w:val="20"/>
                <w:szCs w:val="20"/>
                <w:lang w:eastAsia="es-ES_tradnl"/>
              </w:rPr>
              <w:t>Var Nom.</w:t>
            </w:r>
          </w:p>
        </w:tc>
        <w:tc>
          <w:tcPr>
            <w:tcW w:w="0" w:type="auto"/>
            <w:tcBorders>
              <w:top w:val="nil"/>
              <w:left w:val="nil"/>
              <w:bottom w:val="single"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color w:val="000000"/>
                <w:sz w:val="20"/>
                <w:szCs w:val="20"/>
                <w:lang w:eastAsia="es-ES_tradnl"/>
              </w:rPr>
            </w:pPr>
            <w:r w:rsidRPr="00E21261">
              <w:rPr>
                <w:rFonts w:ascii="Calibri" w:eastAsia="Times New Roman" w:hAnsi="Calibri" w:cs="Calibri"/>
                <w:color w:val="000000"/>
                <w:sz w:val="20"/>
                <w:szCs w:val="20"/>
                <w:lang w:eastAsia="es-ES_tradnl"/>
              </w:rPr>
              <w:t>-46.156</w:t>
            </w:r>
          </w:p>
        </w:tc>
        <w:tc>
          <w:tcPr>
            <w:tcW w:w="0" w:type="auto"/>
            <w:tcBorders>
              <w:top w:val="nil"/>
              <w:left w:val="nil"/>
              <w:bottom w:val="single"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color w:val="000000"/>
                <w:sz w:val="20"/>
                <w:szCs w:val="20"/>
                <w:lang w:eastAsia="es-ES_tradnl"/>
              </w:rPr>
            </w:pPr>
            <w:r w:rsidRPr="00E21261">
              <w:rPr>
                <w:rFonts w:ascii="Calibri" w:eastAsia="Times New Roman" w:hAnsi="Calibri" w:cs="Calibri"/>
                <w:color w:val="000000"/>
                <w:sz w:val="20"/>
                <w:szCs w:val="20"/>
                <w:lang w:eastAsia="es-ES_tradnl"/>
              </w:rPr>
              <w:t>28.869</w:t>
            </w:r>
          </w:p>
        </w:tc>
        <w:tc>
          <w:tcPr>
            <w:tcW w:w="0" w:type="auto"/>
            <w:tcBorders>
              <w:top w:val="nil"/>
              <w:left w:val="nil"/>
              <w:bottom w:val="single"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color w:val="000000"/>
                <w:sz w:val="20"/>
                <w:szCs w:val="20"/>
                <w:lang w:eastAsia="es-ES_tradnl"/>
              </w:rPr>
            </w:pPr>
            <w:r w:rsidRPr="00E21261">
              <w:rPr>
                <w:rFonts w:ascii="Calibri" w:eastAsia="Times New Roman" w:hAnsi="Calibri" w:cs="Calibri"/>
                <w:color w:val="000000"/>
                <w:sz w:val="20"/>
                <w:szCs w:val="20"/>
                <w:lang w:eastAsia="es-ES_tradnl"/>
              </w:rPr>
              <w:t>13.556</w:t>
            </w:r>
          </w:p>
        </w:tc>
        <w:tc>
          <w:tcPr>
            <w:tcW w:w="0" w:type="auto"/>
            <w:tcBorders>
              <w:top w:val="nil"/>
              <w:left w:val="nil"/>
              <w:bottom w:val="single"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color w:val="000000"/>
                <w:sz w:val="20"/>
                <w:szCs w:val="20"/>
                <w:lang w:eastAsia="es-ES_tradnl"/>
              </w:rPr>
            </w:pPr>
            <w:r w:rsidRPr="00E21261">
              <w:rPr>
                <w:rFonts w:ascii="Calibri" w:eastAsia="Times New Roman" w:hAnsi="Calibri" w:cs="Calibri"/>
                <w:color w:val="000000"/>
                <w:sz w:val="20"/>
                <w:szCs w:val="20"/>
                <w:lang w:eastAsia="es-ES_tradnl"/>
              </w:rPr>
              <w:t>9.499</w:t>
            </w:r>
          </w:p>
        </w:tc>
        <w:tc>
          <w:tcPr>
            <w:tcW w:w="0" w:type="auto"/>
            <w:tcBorders>
              <w:top w:val="nil"/>
              <w:left w:val="nil"/>
              <w:bottom w:val="single"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color w:val="000000"/>
                <w:sz w:val="20"/>
                <w:szCs w:val="20"/>
                <w:lang w:eastAsia="es-ES_tradnl"/>
              </w:rPr>
            </w:pPr>
            <w:r w:rsidRPr="00E21261">
              <w:rPr>
                <w:rFonts w:ascii="Calibri" w:eastAsia="Times New Roman" w:hAnsi="Calibri" w:cs="Calibri"/>
                <w:color w:val="000000"/>
                <w:sz w:val="20"/>
                <w:szCs w:val="20"/>
                <w:lang w:eastAsia="es-ES_tradnl"/>
              </w:rPr>
              <w:t>38.280</w:t>
            </w:r>
          </w:p>
        </w:tc>
        <w:tc>
          <w:tcPr>
            <w:tcW w:w="0" w:type="auto"/>
            <w:tcBorders>
              <w:top w:val="nil"/>
              <w:left w:val="nil"/>
              <w:bottom w:val="single"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color w:val="000000"/>
                <w:sz w:val="20"/>
                <w:szCs w:val="20"/>
                <w:lang w:eastAsia="es-ES_tradnl"/>
              </w:rPr>
            </w:pPr>
            <w:r w:rsidRPr="00E21261">
              <w:rPr>
                <w:rFonts w:ascii="Calibri" w:eastAsia="Times New Roman" w:hAnsi="Calibri" w:cs="Calibri"/>
                <w:color w:val="000000"/>
                <w:sz w:val="20"/>
                <w:szCs w:val="20"/>
                <w:lang w:eastAsia="es-ES_tradnl"/>
              </w:rPr>
              <w:t>27.759</w:t>
            </w:r>
          </w:p>
        </w:tc>
        <w:tc>
          <w:tcPr>
            <w:tcW w:w="1160" w:type="dxa"/>
            <w:tcBorders>
              <w:top w:val="nil"/>
              <w:left w:val="nil"/>
              <w:bottom w:val="single" w:sz="4" w:space="0" w:color="auto"/>
              <w:right w:val="single" w:sz="4" w:space="0" w:color="auto"/>
            </w:tcBorders>
            <w:shd w:val="clear" w:color="000000" w:fill="DBE5F1"/>
            <w:noWrap/>
            <w:vAlign w:val="bottom"/>
            <w:hideMark/>
          </w:tcPr>
          <w:p w:rsidR="00E21261" w:rsidRPr="00E21261" w:rsidRDefault="00E21261" w:rsidP="00E21261">
            <w:pPr>
              <w:spacing w:after="0" w:line="240" w:lineRule="auto"/>
              <w:jc w:val="center"/>
              <w:rPr>
                <w:rFonts w:ascii="Calibri" w:eastAsia="Times New Roman" w:hAnsi="Calibri" w:cs="Calibri"/>
                <w:color w:val="000000"/>
                <w:sz w:val="20"/>
                <w:szCs w:val="20"/>
                <w:lang w:eastAsia="es-ES_tradnl"/>
              </w:rPr>
            </w:pPr>
            <w:bookmarkStart w:id="0" w:name="_GoBack"/>
            <w:bookmarkEnd w:id="0"/>
            <w:r w:rsidRPr="00E21261">
              <w:rPr>
                <w:rFonts w:ascii="Calibri" w:eastAsia="Times New Roman" w:hAnsi="Calibri" w:cs="Calibri"/>
                <w:color w:val="000000"/>
                <w:sz w:val="20"/>
                <w:szCs w:val="20"/>
                <w:lang w:eastAsia="es-ES_tradnl"/>
              </w:rPr>
              <w:t>71.807</w:t>
            </w:r>
          </w:p>
        </w:tc>
      </w:tr>
    </w:tbl>
    <w:p w:rsidR="00E21261" w:rsidRDefault="00FE6C6B" w:rsidP="001F4F27">
      <w:pPr>
        <w:jc w:val="both"/>
        <w:rPr>
          <w:sz w:val="20"/>
          <w:szCs w:val="20"/>
        </w:rPr>
      </w:pPr>
      <w:r>
        <w:rPr>
          <w:sz w:val="20"/>
          <w:szCs w:val="20"/>
        </w:rPr>
        <w:t>Fuente: Elaboración propia en base SIPA.</w:t>
      </w:r>
    </w:p>
    <w:p w:rsidR="00E21261" w:rsidRDefault="00E21261" w:rsidP="001F4F27">
      <w:pPr>
        <w:jc w:val="both"/>
        <w:rPr>
          <w:sz w:val="20"/>
          <w:szCs w:val="20"/>
        </w:rPr>
      </w:pPr>
    </w:p>
    <w:p w:rsidR="005B1507" w:rsidRPr="00E61111" w:rsidRDefault="005B1507" w:rsidP="005B1507">
      <w:pPr>
        <w:jc w:val="both"/>
      </w:pPr>
      <w:r w:rsidRPr="00E61111">
        <w:t xml:space="preserve">Cuadro: Evolución </w:t>
      </w:r>
      <w:r>
        <w:t>del empleo registrado según categorías</w:t>
      </w:r>
      <w:r w:rsidRPr="00E61111">
        <w:t xml:space="preserve">. </w:t>
      </w:r>
      <w:r w:rsidR="00021844">
        <w:t>Enero 2017</w:t>
      </w:r>
      <w:r w:rsidRPr="00E61111">
        <w:t>.</w:t>
      </w:r>
    </w:p>
    <w:tbl>
      <w:tblPr>
        <w:tblW w:w="10020" w:type="dxa"/>
        <w:jc w:val="center"/>
        <w:tblCellMar>
          <w:left w:w="70" w:type="dxa"/>
          <w:right w:w="70" w:type="dxa"/>
        </w:tblCellMar>
        <w:tblLook w:val="04A0"/>
      </w:tblPr>
      <w:tblGrid>
        <w:gridCol w:w="929"/>
        <w:gridCol w:w="1102"/>
        <w:gridCol w:w="1102"/>
        <w:gridCol w:w="1127"/>
        <w:gridCol w:w="1439"/>
        <w:gridCol w:w="1439"/>
        <w:gridCol w:w="1439"/>
        <w:gridCol w:w="1443"/>
      </w:tblGrid>
      <w:tr w:rsidR="00D32765" w:rsidRPr="00D32765" w:rsidTr="00021844">
        <w:trPr>
          <w:trHeight w:val="30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D32765" w:rsidRPr="00D32765" w:rsidRDefault="00D32765" w:rsidP="00D32765">
            <w:pPr>
              <w:spacing w:after="0" w:line="240" w:lineRule="auto"/>
              <w:jc w:val="center"/>
              <w:rPr>
                <w:rFonts w:ascii="Calibri" w:eastAsia="Times New Roman" w:hAnsi="Calibri" w:cs="Calibri"/>
                <w:b/>
                <w:bCs/>
                <w:color w:val="FFFFFF"/>
                <w:sz w:val="20"/>
                <w:szCs w:val="20"/>
                <w:lang w:eastAsia="es-ES_tradnl"/>
              </w:rPr>
            </w:pPr>
            <w:r w:rsidRPr="00D32765">
              <w:rPr>
                <w:rFonts w:ascii="Calibri" w:eastAsia="Times New Roman" w:hAnsi="Calibri" w:cs="Calibri"/>
                <w:b/>
                <w:bCs/>
                <w:color w:val="FFFFFF"/>
                <w:sz w:val="20"/>
                <w:szCs w:val="20"/>
                <w:lang w:eastAsia="es-ES_tradnl"/>
              </w:rPr>
              <w:t>Período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D32765" w:rsidRPr="00D32765" w:rsidRDefault="00D32765" w:rsidP="00D32765">
            <w:pPr>
              <w:spacing w:after="0" w:line="240" w:lineRule="auto"/>
              <w:jc w:val="center"/>
              <w:rPr>
                <w:rFonts w:ascii="Calibri" w:eastAsia="Times New Roman" w:hAnsi="Calibri" w:cs="Calibri"/>
                <w:b/>
                <w:bCs/>
                <w:color w:val="FFFFFF"/>
                <w:sz w:val="20"/>
                <w:szCs w:val="20"/>
                <w:lang w:eastAsia="es-ES_tradnl"/>
              </w:rPr>
            </w:pPr>
            <w:r w:rsidRPr="00D32765">
              <w:rPr>
                <w:rFonts w:ascii="Calibri" w:eastAsia="Times New Roman" w:hAnsi="Calibri" w:cs="Calibri"/>
                <w:b/>
                <w:bCs/>
                <w:color w:val="FFFFFF"/>
                <w:sz w:val="20"/>
                <w:szCs w:val="20"/>
                <w:lang w:eastAsia="es-ES_tradnl"/>
              </w:rPr>
              <w:t>Asalariados Privados</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D32765" w:rsidRPr="00D32765" w:rsidRDefault="00D32765" w:rsidP="00D32765">
            <w:pPr>
              <w:spacing w:after="0" w:line="240" w:lineRule="auto"/>
              <w:jc w:val="center"/>
              <w:rPr>
                <w:rFonts w:ascii="Calibri" w:eastAsia="Times New Roman" w:hAnsi="Calibri" w:cs="Calibri"/>
                <w:b/>
                <w:bCs/>
                <w:color w:val="FFFFFF"/>
                <w:sz w:val="20"/>
                <w:szCs w:val="20"/>
                <w:lang w:eastAsia="es-ES_tradnl"/>
              </w:rPr>
            </w:pPr>
            <w:r w:rsidRPr="00D32765">
              <w:rPr>
                <w:rFonts w:ascii="Calibri" w:eastAsia="Times New Roman" w:hAnsi="Calibri" w:cs="Calibri"/>
                <w:b/>
                <w:bCs/>
                <w:color w:val="FFFFFF"/>
                <w:sz w:val="20"/>
                <w:szCs w:val="20"/>
                <w:lang w:eastAsia="es-ES_tradnl"/>
              </w:rPr>
              <w:t>Asalariados públicos</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D32765" w:rsidRPr="00D32765" w:rsidRDefault="00D32765" w:rsidP="00D32765">
            <w:pPr>
              <w:spacing w:after="0" w:line="240" w:lineRule="auto"/>
              <w:jc w:val="center"/>
              <w:rPr>
                <w:rFonts w:ascii="Calibri" w:eastAsia="Times New Roman" w:hAnsi="Calibri" w:cs="Calibri"/>
                <w:b/>
                <w:bCs/>
                <w:color w:val="FFFFFF"/>
                <w:sz w:val="20"/>
                <w:szCs w:val="20"/>
                <w:lang w:eastAsia="es-ES_tradnl"/>
              </w:rPr>
            </w:pPr>
            <w:r w:rsidRPr="00D32765">
              <w:rPr>
                <w:rFonts w:ascii="Calibri" w:eastAsia="Times New Roman" w:hAnsi="Calibri" w:cs="Calibri"/>
                <w:b/>
                <w:bCs/>
                <w:color w:val="FFFFFF"/>
                <w:sz w:val="20"/>
                <w:szCs w:val="20"/>
                <w:lang w:eastAsia="es-ES_tradnl"/>
              </w:rPr>
              <w:t xml:space="preserve">Asalariados de casas particulares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D32765" w:rsidRPr="00D32765" w:rsidRDefault="00D32765" w:rsidP="00D32765">
            <w:pPr>
              <w:spacing w:after="0" w:line="240" w:lineRule="auto"/>
              <w:jc w:val="center"/>
              <w:rPr>
                <w:rFonts w:ascii="Calibri" w:eastAsia="Times New Roman" w:hAnsi="Calibri" w:cs="Calibri"/>
                <w:b/>
                <w:bCs/>
                <w:color w:val="FFFFFF"/>
                <w:sz w:val="20"/>
                <w:szCs w:val="20"/>
                <w:lang w:eastAsia="es-ES_tradnl"/>
              </w:rPr>
            </w:pPr>
            <w:r w:rsidRPr="00D32765">
              <w:rPr>
                <w:rFonts w:ascii="Calibri" w:eastAsia="Times New Roman" w:hAnsi="Calibri" w:cs="Calibri"/>
                <w:b/>
                <w:bCs/>
                <w:color w:val="FFFFFF"/>
                <w:sz w:val="20"/>
                <w:szCs w:val="20"/>
                <w:lang w:eastAsia="es-ES_tradnl"/>
              </w:rPr>
              <w:t xml:space="preserve">Independientes Autónomos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D32765" w:rsidRPr="00D32765" w:rsidRDefault="00D32765" w:rsidP="00D32765">
            <w:pPr>
              <w:spacing w:after="0" w:line="240" w:lineRule="auto"/>
              <w:jc w:val="center"/>
              <w:rPr>
                <w:rFonts w:ascii="Calibri" w:eastAsia="Times New Roman" w:hAnsi="Calibri" w:cs="Calibri"/>
                <w:b/>
                <w:bCs/>
                <w:color w:val="FFFFFF"/>
                <w:sz w:val="20"/>
                <w:szCs w:val="20"/>
                <w:lang w:eastAsia="es-ES_tradnl"/>
              </w:rPr>
            </w:pPr>
            <w:r w:rsidRPr="00D32765">
              <w:rPr>
                <w:rFonts w:ascii="Calibri" w:eastAsia="Times New Roman" w:hAnsi="Calibri" w:cs="Calibri"/>
                <w:b/>
                <w:bCs/>
                <w:color w:val="FFFFFF"/>
                <w:sz w:val="20"/>
                <w:szCs w:val="20"/>
                <w:lang w:eastAsia="es-ES_tradnl"/>
              </w:rPr>
              <w:t>Independientes Monotributo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D32765" w:rsidRPr="00D32765" w:rsidRDefault="00D32765" w:rsidP="00D32765">
            <w:pPr>
              <w:spacing w:after="0" w:line="240" w:lineRule="auto"/>
              <w:jc w:val="center"/>
              <w:rPr>
                <w:rFonts w:ascii="Calibri" w:eastAsia="Times New Roman" w:hAnsi="Calibri" w:cs="Calibri"/>
                <w:b/>
                <w:bCs/>
                <w:color w:val="FFFFFF"/>
                <w:sz w:val="20"/>
                <w:szCs w:val="20"/>
                <w:lang w:eastAsia="es-ES_tradnl"/>
              </w:rPr>
            </w:pPr>
            <w:r w:rsidRPr="00D32765">
              <w:rPr>
                <w:rFonts w:ascii="Calibri" w:eastAsia="Times New Roman" w:hAnsi="Calibri" w:cs="Calibri"/>
                <w:b/>
                <w:bCs/>
                <w:color w:val="FFFFFF"/>
                <w:sz w:val="20"/>
                <w:szCs w:val="20"/>
                <w:lang w:eastAsia="es-ES_tradnl"/>
              </w:rPr>
              <w:t>Independientes Monotributo</w:t>
            </w:r>
            <w:r w:rsidRPr="00D32765">
              <w:rPr>
                <w:rFonts w:ascii="Calibri" w:eastAsia="Times New Roman" w:hAnsi="Calibri" w:cs="Calibri"/>
                <w:b/>
                <w:bCs/>
                <w:color w:val="FFFFFF"/>
                <w:sz w:val="20"/>
                <w:szCs w:val="20"/>
                <w:lang w:eastAsia="es-ES_tradnl"/>
              </w:rPr>
              <w:br/>
              <w:t xml:space="preserve">Social </w:t>
            </w:r>
          </w:p>
        </w:tc>
        <w:tc>
          <w:tcPr>
            <w:tcW w:w="1443"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D32765" w:rsidRPr="00D32765" w:rsidRDefault="00D32765" w:rsidP="00D32765">
            <w:pPr>
              <w:spacing w:after="0" w:line="240" w:lineRule="auto"/>
              <w:jc w:val="center"/>
              <w:rPr>
                <w:rFonts w:ascii="Calibri" w:eastAsia="Times New Roman" w:hAnsi="Calibri" w:cs="Calibri"/>
                <w:b/>
                <w:bCs/>
                <w:color w:val="FFFFFF"/>
                <w:sz w:val="20"/>
                <w:szCs w:val="20"/>
                <w:lang w:eastAsia="es-ES_tradnl"/>
              </w:rPr>
            </w:pPr>
            <w:r w:rsidRPr="00D32765">
              <w:rPr>
                <w:rFonts w:ascii="Calibri" w:eastAsia="Times New Roman" w:hAnsi="Calibri" w:cs="Calibri"/>
                <w:b/>
                <w:bCs/>
                <w:color w:val="FFFFFF"/>
                <w:sz w:val="20"/>
                <w:szCs w:val="20"/>
                <w:lang w:eastAsia="es-ES_tradnl"/>
              </w:rPr>
              <w:t xml:space="preserve">Total </w:t>
            </w:r>
          </w:p>
        </w:tc>
      </w:tr>
      <w:tr w:rsidR="00D32765" w:rsidRPr="00D32765" w:rsidTr="00021844">
        <w:trPr>
          <w:trHeight w:val="46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32765" w:rsidRPr="00D32765" w:rsidRDefault="00D32765" w:rsidP="00D32765">
            <w:pPr>
              <w:spacing w:after="0" w:line="240" w:lineRule="auto"/>
              <w:rPr>
                <w:rFonts w:ascii="Calibri" w:eastAsia="Times New Roman" w:hAnsi="Calibri" w:cs="Calibri"/>
                <w:b/>
                <w:bCs/>
                <w:color w:val="FFFFFF"/>
                <w:sz w:val="20"/>
                <w:szCs w:val="20"/>
                <w:lang w:eastAsia="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2765" w:rsidRPr="00D32765" w:rsidRDefault="00D32765" w:rsidP="00D32765">
            <w:pPr>
              <w:spacing w:after="0" w:line="240" w:lineRule="auto"/>
              <w:rPr>
                <w:rFonts w:ascii="Calibri" w:eastAsia="Times New Roman" w:hAnsi="Calibri" w:cs="Calibri"/>
                <w:b/>
                <w:bCs/>
                <w:color w:val="FFFFFF"/>
                <w:sz w:val="20"/>
                <w:szCs w:val="20"/>
                <w:lang w:eastAsia="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2765" w:rsidRPr="00D32765" w:rsidRDefault="00D32765" w:rsidP="00D32765">
            <w:pPr>
              <w:spacing w:after="0" w:line="240" w:lineRule="auto"/>
              <w:rPr>
                <w:rFonts w:ascii="Calibri" w:eastAsia="Times New Roman" w:hAnsi="Calibri" w:cs="Calibri"/>
                <w:b/>
                <w:bCs/>
                <w:color w:val="FFFFFF"/>
                <w:sz w:val="20"/>
                <w:szCs w:val="20"/>
                <w:lang w:eastAsia="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2765" w:rsidRPr="00D32765" w:rsidRDefault="00D32765" w:rsidP="00D32765">
            <w:pPr>
              <w:spacing w:after="0" w:line="240" w:lineRule="auto"/>
              <w:rPr>
                <w:rFonts w:ascii="Calibri" w:eastAsia="Times New Roman" w:hAnsi="Calibri" w:cs="Calibri"/>
                <w:b/>
                <w:bCs/>
                <w:color w:val="FFFFFF"/>
                <w:sz w:val="20"/>
                <w:szCs w:val="20"/>
                <w:lang w:eastAsia="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2765" w:rsidRPr="00D32765" w:rsidRDefault="00D32765" w:rsidP="00D32765">
            <w:pPr>
              <w:spacing w:after="0" w:line="240" w:lineRule="auto"/>
              <w:rPr>
                <w:rFonts w:ascii="Calibri" w:eastAsia="Times New Roman" w:hAnsi="Calibri" w:cs="Calibri"/>
                <w:b/>
                <w:bCs/>
                <w:color w:val="FFFFFF"/>
                <w:sz w:val="20"/>
                <w:szCs w:val="20"/>
                <w:lang w:eastAsia="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2765" w:rsidRPr="00D32765" w:rsidRDefault="00D32765" w:rsidP="00D32765">
            <w:pPr>
              <w:spacing w:after="0" w:line="240" w:lineRule="auto"/>
              <w:rPr>
                <w:rFonts w:ascii="Calibri" w:eastAsia="Times New Roman" w:hAnsi="Calibri" w:cs="Calibri"/>
                <w:b/>
                <w:bCs/>
                <w:color w:val="FFFFFF"/>
                <w:sz w:val="20"/>
                <w:szCs w:val="20"/>
                <w:lang w:eastAsia="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2765" w:rsidRPr="00D32765" w:rsidRDefault="00D32765" w:rsidP="00D32765">
            <w:pPr>
              <w:spacing w:after="0" w:line="240" w:lineRule="auto"/>
              <w:rPr>
                <w:rFonts w:ascii="Calibri" w:eastAsia="Times New Roman" w:hAnsi="Calibri" w:cs="Calibri"/>
                <w:b/>
                <w:bCs/>
                <w:color w:val="FFFFFF"/>
                <w:sz w:val="20"/>
                <w:szCs w:val="20"/>
                <w:lang w:eastAsia="es-ES_tradnl"/>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D32765" w:rsidRPr="00D32765" w:rsidRDefault="00D32765" w:rsidP="00D32765">
            <w:pPr>
              <w:spacing w:after="0" w:line="240" w:lineRule="auto"/>
              <w:rPr>
                <w:rFonts w:ascii="Calibri" w:eastAsia="Times New Roman" w:hAnsi="Calibri" w:cs="Calibri"/>
                <w:b/>
                <w:bCs/>
                <w:color w:val="FFFFFF"/>
                <w:sz w:val="20"/>
                <w:szCs w:val="20"/>
                <w:lang w:eastAsia="es-ES_tradnl"/>
              </w:rPr>
            </w:pPr>
          </w:p>
        </w:tc>
      </w:tr>
      <w:tr w:rsidR="00D32765" w:rsidRPr="00D32765" w:rsidTr="00021844">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b/>
                <w:bCs/>
                <w:sz w:val="20"/>
                <w:szCs w:val="20"/>
                <w:lang w:eastAsia="es-ES_tradnl"/>
              </w:rPr>
            </w:pPr>
            <w:r w:rsidRPr="00D32765">
              <w:rPr>
                <w:rFonts w:ascii="Calibri" w:eastAsia="Times New Roman" w:hAnsi="Calibri" w:cs="Calibri"/>
                <w:b/>
                <w:bCs/>
                <w:sz w:val="20"/>
                <w:szCs w:val="20"/>
                <w:lang w:eastAsia="es-ES_tradnl"/>
              </w:rPr>
              <w:t>dic-16*</w:t>
            </w:r>
          </w:p>
        </w:tc>
        <w:tc>
          <w:tcPr>
            <w:tcW w:w="0" w:type="auto"/>
            <w:tcBorders>
              <w:top w:val="nil"/>
              <w:left w:val="nil"/>
              <w:bottom w:val="single" w:sz="4" w:space="0" w:color="auto"/>
              <w:right w:val="single" w:sz="4" w:space="0" w:color="auto"/>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sz w:val="20"/>
                <w:szCs w:val="20"/>
                <w:lang w:eastAsia="es-ES_tradnl"/>
              </w:rPr>
            </w:pPr>
            <w:r w:rsidRPr="00D32765">
              <w:rPr>
                <w:rFonts w:ascii="Calibri" w:eastAsia="Times New Roman" w:hAnsi="Calibri" w:cs="Calibri"/>
                <w:sz w:val="20"/>
                <w:szCs w:val="20"/>
                <w:lang w:eastAsia="es-ES_tradnl"/>
              </w:rPr>
              <w:t>6.200.370</w:t>
            </w:r>
          </w:p>
        </w:tc>
        <w:tc>
          <w:tcPr>
            <w:tcW w:w="0" w:type="auto"/>
            <w:tcBorders>
              <w:top w:val="nil"/>
              <w:left w:val="nil"/>
              <w:bottom w:val="single" w:sz="4" w:space="0" w:color="auto"/>
              <w:right w:val="single" w:sz="4" w:space="0" w:color="auto"/>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sz w:val="20"/>
                <w:szCs w:val="20"/>
                <w:lang w:eastAsia="es-ES_tradnl"/>
              </w:rPr>
            </w:pPr>
            <w:r w:rsidRPr="00D32765">
              <w:rPr>
                <w:rFonts w:ascii="Calibri" w:eastAsia="Times New Roman" w:hAnsi="Calibri" w:cs="Calibri"/>
                <w:sz w:val="20"/>
                <w:szCs w:val="20"/>
                <w:lang w:eastAsia="es-ES_tradnl"/>
              </w:rPr>
              <w:t>3.153.568</w:t>
            </w:r>
          </w:p>
        </w:tc>
        <w:tc>
          <w:tcPr>
            <w:tcW w:w="0" w:type="auto"/>
            <w:tcBorders>
              <w:top w:val="nil"/>
              <w:left w:val="nil"/>
              <w:bottom w:val="single" w:sz="4" w:space="0" w:color="auto"/>
              <w:right w:val="single" w:sz="4" w:space="0" w:color="auto"/>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sz w:val="20"/>
                <w:szCs w:val="20"/>
                <w:lang w:eastAsia="es-ES_tradnl"/>
              </w:rPr>
            </w:pPr>
            <w:r w:rsidRPr="00D32765">
              <w:rPr>
                <w:rFonts w:ascii="Calibri" w:eastAsia="Times New Roman" w:hAnsi="Calibri" w:cs="Calibri"/>
                <w:sz w:val="20"/>
                <w:szCs w:val="20"/>
                <w:lang w:eastAsia="es-ES_tradnl"/>
              </w:rPr>
              <w:t>456.266</w:t>
            </w:r>
          </w:p>
        </w:tc>
        <w:tc>
          <w:tcPr>
            <w:tcW w:w="0" w:type="auto"/>
            <w:tcBorders>
              <w:top w:val="nil"/>
              <w:left w:val="nil"/>
              <w:bottom w:val="single" w:sz="4" w:space="0" w:color="auto"/>
              <w:right w:val="single" w:sz="4" w:space="0" w:color="auto"/>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sz w:val="20"/>
                <w:szCs w:val="20"/>
                <w:lang w:eastAsia="es-ES_tradnl"/>
              </w:rPr>
            </w:pPr>
            <w:r w:rsidRPr="00D32765">
              <w:rPr>
                <w:rFonts w:ascii="Calibri" w:eastAsia="Times New Roman" w:hAnsi="Calibri" w:cs="Calibri"/>
                <w:sz w:val="20"/>
                <w:szCs w:val="20"/>
                <w:lang w:eastAsia="es-ES_tradnl"/>
              </w:rPr>
              <w:t>415.265</w:t>
            </w:r>
          </w:p>
        </w:tc>
        <w:tc>
          <w:tcPr>
            <w:tcW w:w="0" w:type="auto"/>
            <w:tcBorders>
              <w:top w:val="nil"/>
              <w:left w:val="nil"/>
              <w:bottom w:val="single" w:sz="4" w:space="0" w:color="auto"/>
              <w:right w:val="single" w:sz="4" w:space="0" w:color="auto"/>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sz w:val="20"/>
                <w:szCs w:val="20"/>
                <w:lang w:eastAsia="es-ES_tradnl"/>
              </w:rPr>
            </w:pPr>
            <w:r w:rsidRPr="00D32765">
              <w:rPr>
                <w:rFonts w:ascii="Calibri" w:eastAsia="Times New Roman" w:hAnsi="Calibri" w:cs="Calibri"/>
                <w:sz w:val="20"/>
                <w:szCs w:val="20"/>
                <w:lang w:eastAsia="es-ES_tradnl"/>
              </w:rPr>
              <w:t>1.484.588</w:t>
            </w:r>
          </w:p>
        </w:tc>
        <w:tc>
          <w:tcPr>
            <w:tcW w:w="0" w:type="auto"/>
            <w:tcBorders>
              <w:top w:val="nil"/>
              <w:left w:val="nil"/>
              <w:bottom w:val="single" w:sz="4" w:space="0" w:color="auto"/>
              <w:right w:val="single" w:sz="4" w:space="0" w:color="auto"/>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sz w:val="20"/>
                <w:szCs w:val="20"/>
                <w:lang w:eastAsia="es-ES_tradnl"/>
              </w:rPr>
            </w:pPr>
            <w:r w:rsidRPr="00D32765">
              <w:rPr>
                <w:rFonts w:ascii="Calibri" w:eastAsia="Times New Roman" w:hAnsi="Calibri" w:cs="Calibri"/>
                <w:sz w:val="20"/>
                <w:szCs w:val="20"/>
                <w:lang w:eastAsia="es-ES_tradnl"/>
              </w:rPr>
              <w:t>380.706</w:t>
            </w:r>
          </w:p>
        </w:tc>
        <w:tc>
          <w:tcPr>
            <w:tcW w:w="1443" w:type="dxa"/>
            <w:tcBorders>
              <w:top w:val="nil"/>
              <w:left w:val="nil"/>
              <w:bottom w:val="single" w:sz="4" w:space="0" w:color="auto"/>
              <w:right w:val="single" w:sz="4" w:space="0" w:color="auto"/>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b/>
                <w:bCs/>
                <w:sz w:val="20"/>
                <w:szCs w:val="20"/>
                <w:lang w:eastAsia="es-ES_tradnl"/>
              </w:rPr>
            </w:pPr>
            <w:r w:rsidRPr="00D32765">
              <w:rPr>
                <w:rFonts w:ascii="Calibri" w:eastAsia="Times New Roman" w:hAnsi="Calibri" w:cs="Calibri"/>
                <w:b/>
                <w:bCs/>
                <w:sz w:val="20"/>
                <w:szCs w:val="20"/>
                <w:lang w:eastAsia="es-ES_tradnl"/>
              </w:rPr>
              <w:t>12.090.763</w:t>
            </w:r>
          </w:p>
        </w:tc>
      </w:tr>
      <w:tr w:rsidR="00D32765" w:rsidRPr="00D32765" w:rsidTr="00021844">
        <w:trPr>
          <w:trHeight w:val="315"/>
          <w:jc w:val="center"/>
        </w:trPr>
        <w:tc>
          <w:tcPr>
            <w:tcW w:w="0" w:type="auto"/>
            <w:tcBorders>
              <w:top w:val="nil"/>
              <w:left w:val="single" w:sz="8" w:space="0" w:color="auto"/>
              <w:bottom w:val="single" w:sz="4" w:space="0" w:color="auto"/>
              <w:right w:val="nil"/>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b/>
                <w:bCs/>
                <w:sz w:val="20"/>
                <w:szCs w:val="20"/>
                <w:lang w:eastAsia="es-ES_tradnl"/>
              </w:rPr>
            </w:pPr>
            <w:r w:rsidRPr="00D32765">
              <w:rPr>
                <w:rFonts w:ascii="Calibri" w:eastAsia="Times New Roman" w:hAnsi="Calibri" w:cs="Calibri"/>
                <w:b/>
                <w:bCs/>
                <w:sz w:val="20"/>
                <w:szCs w:val="20"/>
                <w:lang w:eastAsia="es-ES_tradnl"/>
              </w:rPr>
              <w:t>ene-17*</w:t>
            </w:r>
          </w:p>
        </w:tc>
        <w:tc>
          <w:tcPr>
            <w:tcW w:w="0" w:type="auto"/>
            <w:tcBorders>
              <w:top w:val="nil"/>
              <w:left w:val="single" w:sz="4" w:space="0" w:color="auto"/>
              <w:bottom w:val="single" w:sz="4" w:space="0" w:color="auto"/>
              <w:right w:val="single" w:sz="4" w:space="0" w:color="1F497D"/>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sz w:val="20"/>
                <w:szCs w:val="20"/>
                <w:lang w:eastAsia="es-ES_tradnl"/>
              </w:rPr>
            </w:pPr>
            <w:r w:rsidRPr="00D32765">
              <w:rPr>
                <w:rFonts w:ascii="Calibri" w:eastAsia="Times New Roman" w:hAnsi="Calibri" w:cs="Calibri"/>
                <w:sz w:val="20"/>
                <w:szCs w:val="20"/>
                <w:lang w:eastAsia="es-ES_tradnl"/>
              </w:rPr>
              <w:t>6.211.853</w:t>
            </w:r>
          </w:p>
        </w:tc>
        <w:tc>
          <w:tcPr>
            <w:tcW w:w="0" w:type="auto"/>
            <w:tcBorders>
              <w:top w:val="nil"/>
              <w:left w:val="nil"/>
              <w:bottom w:val="single" w:sz="4" w:space="0" w:color="auto"/>
              <w:right w:val="single" w:sz="4" w:space="0" w:color="1F497D"/>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sz w:val="20"/>
                <w:szCs w:val="20"/>
                <w:lang w:eastAsia="es-ES_tradnl"/>
              </w:rPr>
            </w:pPr>
            <w:r w:rsidRPr="00D32765">
              <w:rPr>
                <w:rFonts w:ascii="Calibri" w:eastAsia="Times New Roman" w:hAnsi="Calibri" w:cs="Calibri"/>
                <w:sz w:val="20"/>
                <w:szCs w:val="20"/>
                <w:lang w:eastAsia="es-ES_tradnl"/>
              </w:rPr>
              <w:t>3.102.926</w:t>
            </w:r>
          </w:p>
        </w:tc>
        <w:tc>
          <w:tcPr>
            <w:tcW w:w="0" w:type="auto"/>
            <w:tcBorders>
              <w:top w:val="nil"/>
              <w:left w:val="nil"/>
              <w:bottom w:val="single" w:sz="4" w:space="0" w:color="auto"/>
              <w:right w:val="single" w:sz="4" w:space="0" w:color="1F497D"/>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sz w:val="20"/>
                <w:szCs w:val="20"/>
                <w:lang w:eastAsia="es-ES_tradnl"/>
              </w:rPr>
            </w:pPr>
            <w:r w:rsidRPr="00D32765">
              <w:rPr>
                <w:rFonts w:ascii="Calibri" w:eastAsia="Times New Roman" w:hAnsi="Calibri" w:cs="Calibri"/>
                <w:sz w:val="20"/>
                <w:szCs w:val="20"/>
                <w:lang w:eastAsia="es-ES_tradnl"/>
              </w:rPr>
              <w:t>455.160</w:t>
            </w:r>
          </w:p>
        </w:tc>
        <w:tc>
          <w:tcPr>
            <w:tcW w:w="0" w:type="auto"/>
            <w:tcBorders>
              <w:top w:val="nil"/>
              <w:left w:val="nil"/>
              <w:bottom w:val="single" w:sz="4" w:space="0" w:color="auto"/>
              <w:right w:val="single" w:sz="4" w:space="0" w:color="1F497D"/>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sz w:val="20"/>
                <w:szCs w:val="20"/>
                <w:lang w:eastAsia="es-ES_tradnl"/>
              </w:rPr>
            </w:pPr>
            <w:r w:rsidRPr="00D32765">
              <w:rPr>
                <w:rFonts w:ascii="Calibri" w:eastAsia="Times New Roman" w:hAnsi="Calibri" w:cs="Calibri"/>
                <w:sz w:val="20"/>
                <w:szCs w:val="20"/>
                <w:lang w:eastAsia="es-ES_tradnl"/>
              </w:rPr>
              <w:t>407.680</w:t>
            </w:r>
          </w:p>
        </w:tc>
        <w:tc>
          <w:tcPr>
            <w:tcW w:w="0" w:type="auto"/>
            <w:tcBorders>
              <w:top w:val="nil"/>
              <w:left w:val="nil"/>
              <w:bottom w:val="single" w:sz="4" w:space="0" w:color="auto"/>
              <w:right w:val="single" w:sz="4" w:space="0" w:color="1F497D"/>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sz w:val="20"/>
                <w:szCs w:val="20"/>
                <w:lang w:eastAsia="es-ES_tradnl"/>
              </w:rPr>
            </w:pPr>
            <w:r w:rsidRPr="00D32765">
              <w:rPr>
                <w:rFonts w:ascii="Calibri" w:eastAsia="Times New Roman" w:hAnsi="Calibri" w:cs="Calibri"/>
                <w:sz w:val="20"/>
                <w:szCs w:val="20"/>
                <w:lang w:eastAsia="es-ES_tradnl"/>
              </w:rPr>
              <w:t>1.490.444</w:t>
            </w:r>
          </w:p>
        </w:tc>
        <w:tc>
          <w:tcPr>
            <w:tcW w:w="0" w:type="auto"/>
            <w:tcBorders>
              <w:top w:val="nil"/>
              <w:left w:val="nil"/>
              <w:bottom w:val="single" w:sz="4" w:space="0" w:color="auto"/>
              <w:right w:val="single" w:sz="4" w:space="0" w:color="1F497D"/>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sz w:val="20"/>
                <w:szCs w:val="20"/>
                <w:lang w:eastAsia="es-ES_tradnl"/>
              </w:rPr>
            </w:pPr>
            <w:r w:rsidRPr="00D32765">
              <w:rPr>
                <w:rFonts w:ascii="Calibri" w:eastAsia="Times New Roman" w:hAnsi="Calibri" w:cs="Calibri"/>
                <w:sz w:val="20"/>
                <w:szCs w:val="20"/>
                <w:lang w:eastAsia="es-ES_tradnl"/>
              </w:rPr>
              <w:t>379.021</w:t>
            </w:r>
          </w:p>
        </w:tc>
        <w:tc>
          <w:tcPr>
            <w:tcW w:w="1443" w:type="dxa"/>
            <w:tcBorders>
              <w:top w:val="nil"/>
              <w:left w:val="nil"/>
              <w:bottom w:val="single" w:sz="4" w:space="0" w:color="auto"/>
              <w:right w:val="single" w:sz="4" w:space="0" w:color="auto"/>
            </w:tcBorders>
            <w:shd w:val="clear" w:color="000000" w:fill="FFFFFF"/>
            <w:noWrap/>
            <w:vAlign w:val="center"/>
            <w:hideMark/>
          </w:tcPr>
          <w:p w:rsidR="00D32765" w:rsidRPr="00D32765" w:rsidRDefault="00D32765" w:rsidP="00D32765">
            <w:pPr>
              <w:spacing w:after="0" w:line="240" w:lineRule="auto"/>
              <w:jc w:val="center"/>
              <w:rPr>
                <w:rFonts w:ascii="Calibri" w:eastAsia="Times New Roman" w:hAnsi="Calibri" w:cs="Calibri"/>
                <w:b/>
                <w:bCs/>
                <w:sz w:val="20"/>
                <w:szCs w:val="20"/>
                <w:lang w:eastAsia="es-ES_tradnl"/>
              </w:rPr>
            </w:pPr>
            <w:r w:rsidRPr="00D32765">
              <w:rPr>
                <w:rFonts w:ascii="Calibri" w:eastAsia="Times New Roman" w:hAnsi="Calibri" w:cs="Calibri"/>
                <w:b/>
                <w:bCs/>
                <w:sz w:val="20"/>
                <w:szCs w:val="20"/>
                <w:lang w:eastAsia="es-ES_tradnl"/>
              </w:rPr>
              <w:t>12.047.084</w:t>
            </w:r>
          </w:p>
        </w:tc>
      </w:tr>
      <w:tr w:rsidR="00D32765" w:rsidRPr="00D32765" w:rsidTr="00021844">
        <w:trPr>
          <w:trHeight w:val="315"/>
          <w:jc w:val="center"/>
        </w:trPr>
        <w:tc>
          <w:tcPr>
            <w:tcW w:w="0" w:type="auto"/>
            <w:tcBorders>
              <w:top w:val="double" w:sz="6" w:space="0" w:color="auto"/>
              <w:left w:val="single" w:sz="4" w:space="0" w:color="auto"/>
              <w:bottom w:val="dotDash"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b/>
                <w:bCs/>
                <w:color w:val="000000"/>
                <w:sz w:val="20"/>
                <w:szCs w:val="20"/>
                <w:lang w:eastAsia="es-ES_tradnl"/>
              </w:rPr>
            </w:pPr>
            <w:r w:rsidRPr="00D32765">
              <w:rPr>
                <w:rFonts w:ascii="Calibri" w:eastAsia="Times New Roman" w:hAnsi="Calibri" w:cs="Calibri"/>
                <w:b/>
                <w:bCs/>
                <w:color w:val="000000"/>
                <w:sz w:val="20"/>
                <w:szCs w:val="20"/>
                <w:lang w:eastAsia="es-ES_tradnl"/>
              </w:rPr>
              <w:t>Var %</w:t>
            </w:r>
          </w:p>
        </w:tc>
        <w:tc>
          <w:tcPr>
            <w:tcW w:w="0" w:type="auto"/>
            <w:tcBorders>
              <w:top w:val="double" w:sz="6" w:space="0" w:color="auto"/>
              <w:left w:val="nil"/>
              <w:bottom w:val="dotDash"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b/>
                <w:bCs/>
                <w:color w:val="000000"/>
                <w:sz w:val="20"/>
                <w:szCs w:val="20"/>
                <w:lang w:eastAsia="es-ES_tradnl"/>
              </w:rPr>
            </w:pPr>
            <w:r w:rsidRPr="00D32765">
              <w:rPr>
                <w:rFonts w:ascii="Calibri" w:eastAsia="Times New Roman" w:hAnsi="Calibri" w:cs="Calibri"/>
                <w:b/>
                <w:bCs/>
                <w:color w:val="000000"/>
                <w:sz w:val="20"/>
                <w:szCs w:val="20"/>
                <w:lang w:eastAsia="es-ES_tradnl"/>
              </w:rPr>
              <w:t>0,2%</w:t>
            </w:r>
          </w:p>
        </w:tc>
        <w:tc>
          <w:tcPr>
            <w:tcW w:w="0" w:type="auto"/>
            <w:tcBorders>
              <w:top w:val="double" w:sz="6" w:space="0" w:color="auto"/>
              <w:left w:val="nil"/>
              <w:bottom w:val="dotDash"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b/>
                <w:bCs/>
                <w:color w:val="000000"/>
                <w:sz w:val="20"/>
                <w:szCs w:val="20"/>
                <w:lang w:eastAsia="es-ES_tradnl"/>
              </w:rPr>
            </w:pPr>
            <w:r w:rsidRPr="00D32765">
              <w:rPr>
                <w:rFonts w:ascii="Calibri" w:eastAsia="Times New Roman" w:hAnsi="Calibri" w:cs="Calibri"/>
                <w:b/>
                <w:bCs/>
                <w:color w:val="000000"/>
                <w:sz w:val="20"/>
                <w:szCs w:val="20"/>
                <w:lang w:eastAsia="es-ES_tradnl"/>
              </w:rPr>
              <w:t>-1,6%</w:t>
            </w:r>
          </w:p>
        </w:tc>
        <w:tc>
          <w:tcPr>
            <w:tcW w:w="0" w:type="auto"/>
            <w:tcBorders>
              <w:top w:val="double" w:sz="6" w:space="0" w:color="auto"/>
              <w:left w:val="nil"/>
              <w:bottom w:val="dotDash"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b/>
                <w:bCs/>
                <w:color w:val="000000"/>
                <w:sz w:val="20"/>
                <w:szCs w:val="20"/>
                <w:lang w:eastAsia="es-ES_tradnl"/>
              </w:rPr>
            </w:pPr>
            <w:r w:rsidRPr="00D32765">
              <w:rPr>
                <w:rFonts w:ascii="Calibri" w:eastAsia="Times New Roman" w:hAnsi="Calibri" w:cs="Calibri"/>
                <w:b/>
                <w:bCs/>
                <w:color w:val="000000"/>
                <w:sz w:val="20"/>
                <w:szCs w:val="20"/>
                <w:lang w:eastAsia="es-ES_tradnl"/>
              </w:rPr>
              <w:t>-0,2%</w:t>
            </w:r>
          </w:p>
        </w:tc>
        <w:tc>
          <w:tcPr>
            <w:tcW w:w="0" w:type="auto"/>
            <w:tcBorders>
              <w:top w:val="double" w:sz="6" w:space="0" w:color="auto"/>
              <w:left w:val="nil"/>
              <w:bottom w:val="dotDash"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b/>
                <w:bCs/>
                <w:color w:val="000000"/>
                <w:sz w:val="20"/>
                <w:szCs w:val="20"/>
                <w:lang w:eastAsia="es-ES_tradnl"/>
              </w:rPr>
            </w:pPr>
            <w:r w:rsidRPr="00D32765">
              <w:rPr>
                <w:rFonts w:ascii="Calibri" w:eastAsia="Times New Roman" w:hAnsi="Calibri" w:cs="Calibri"/>
                <w:b/>
                <w:bCs/>
                <w:color w:val="000000"/>
                <w:sz w:val="20"/>
                <w:szCs w:val="20"/>
                <w:lang w:eastAsia="es-ES_tradnl"/>
              </w:rPr>
              <w:t>-1,8%</w:t>
            </w:r>
          </w:p>
        </w:tc>
        <w:tc>
          <w:tcPr>
            <w:tcW w:w="0" w:type="auto"/>
            <w:tcBorders>
              <w:top w:val="double" w:sz="6" w:space="0" w:color="auto"/>
              <w:left w:val="nil"/>
              <w:bottom w:val="dotDash"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b/>
                <w:bCs/>
                <w:color w:val="000000"/>
                <w:sz w:val="20"/>
                <w:szCs w:val="20"/>
                <w:lang w:eastAsia="es-ES_tradnl"/>
              </w:rPr>
            </w:pPr>
            <w:r w:rsidRPr="00D32765">
              <w:rPr>
                <w:rFonts w:ascii="Calibri" w:eastAsia="Times New Roman" w:hAnsi="Calibri" w:cs="Calibri"/>
                <w:b/>
                <w:bCs/>
                <w:color w:val="000000"/>
                <w:sz w:val="20"/>
                <w:szCs w:val="20"/>
                <w:lang w:eastAsia="es-ES_tradnl"/>
              </w:rPr>
              <w:t>0,4%</w:t>
            </w:r>
          </w:p>
        </w:tc>
        <w:tc>
          <w:tcPr>
            <w:tcW w:w="0" w:type="auto"/>
            <w:tcBorders>
              <w:top w:val="double" w:sz="6" w:space="0" w:color="auto"/>
              <w:left w:val="nil"/>
              <w:bottom w:val="dotDash"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b/>
                <w:bCs/>
                <w:color w:val="000000"/>
                <w:sz w:val="20"/>
                <w:szCs w:val="20"/>
                <w:lang w:eastAsia="es-ES_tradnl"/>
              </w:rPr>
            </w:pPr>
            <w:r w:rsidRPr="00D32765">
              <w:rPr>
                <w:rFonts w:ascii="Calibri" w:eastAsia="Times New Roman" w:hAnsi="Calibri" w:cs="Calibri"/>
                <w:b/>
                <w:bCs/>
                <w:color w:val="000000"/>
                <w:sz w:val="20"/>
                <w:szCs w:val="20"/>
                <w:lang w:eastAsia="es-ES_tradnl"/>
              </w:rPr>
              <w:t>-0,4%</w:t>
            </w:r>
          </w:p>
        </w:tc>
        <w:tc>
          <w:tcPr>
            <w:tcW w:w="1443" w:type="dxa"/>
            <w:tcBorders>
              <w:top w:val="double" w:sz="6" w:space="0" w:color="auto"/>
              <w:left w:val="nil"/>
              <w:bottom w:val="dotDash"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b/>
                <w:bCs/>
                <w:color w:val="000000"/>
                <w:sz w:val="20"/>
                <w:szCs w:val="20"/>
                <w:lang w:eastAsia="es-ES_tradnl"/>
              </w:rPr>
            </w:pPr>
            <w:r w:rsidRPr="00D32765">
              <w:rPr>
                <w:rFonts w:ascii="Calibri" w:eastAsia="Times New Roman" w:hAnsi="Calibri" w:cs="Calibri"/>
                <w:b/>
                <w:bCs/>
                <w:color w:val="000000"/>
                <w:sz w:val="20"/>
                <w:szCs w:val="20"/>
                <w:lang w:eastAsia="es-ES_tradnl"/>
              </w:rPr>
              <w:t>-0,4%</w:t>
            </w:r>
          </w:p>
        </w:tc>
      </w:tr>
      <w:tr w:rsidR="00D32765" w:rsidRPr="00D32765" w:rsidTr="00021844">
        <w:trPr>
          <w:trHeight w:val="300"/>
          <w:jc w:val="center"/>
        </w:trPr>
        <w:tc>
          <w:tcPr>
            <w:tcW w:w="0" w:type="auto"/>
            <w:tcBorders>
              <w:top w:val="nil"/>
              <w:left w:val="single" w:sz="4" w:space="0" w:color="auto"/>
              <w:bottom w:val="single"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b/>
                <w:bCs/>
                <w:color w:val="000000"/>
                <w:sz w:val="20"/>
                <w:szCs w:val="20"/>
                <w:lang w:eastAsia="es-ES_tradnl"/>
              </w:rPr>
            </w:pPr>
            <w:r w:rsidRPr="00D32765">
              <w:rPr>
                <w:rFonts w:ascii="Calibri" w:eastAsia="Times New Roman" w:hAnsi="Calibri" w:cs="Calibri"/>
                <w:b/>
                <w:bCs/>
                <w:color w:val="000000"/>
                <w:sz w:val="20"/>
                <w:szCs w:val="20"/>
                <w:lang w:eastAsia="es-ES_tradnl"/>
              </w:rPr>
              <w:t>Var Nom.</w:t>
            </w:r>
          </w:p>
        </w:tc>
        <w:tc>
          <w:tcPr>
            <w:tcW w:w="0" w:type="auto"/>
            <w:tcBorders>
              <w:top w:val="nil"/>
              <w:left w:val="nil"/>
              <w:bottom w:val="single"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color w:val="000000"/>
                <w:sz w:val="20"/>
                <w:szCs w:val="20"/>
                <w:lang w:eastAsia="es-ES_tradnl"/>
              </w:rPr>
            </w:pPr>
            <w:r w:rsidRPr="00D32765">
              <w:rPr>
                <w:rFonts w:ascii="Calibri" w:eastAsia="Times New Roman" w:hAnsi="Calibri" w:cs="Calibri"/>
                <w:color w:val="000000"/>
                <w:sz w:val="20"/>
                <w:szCs w:val="20"/>
                <w:lang w:eastAsia="es-ES_tradnl"/>
              </w:rPr>
              <w:t>11.483</w:t>
            </w:r>
          </w:p>
        </w:tc>
        <w:tc>
          <w:tcPr>
            <w:tcW w:w="0" w:type="auto"/>
            <w:tcBorders>
              <w:top w:val="nil"/>
              <w:left w:val="nil"/>
              <w:bottom w:val="single"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color w:val="000000"/>
                <w:sz w:val="20"/>
                <w:szCs w:val="20"/>
                <w:lang w:eastAsia="es-ES_tradnl"/>
              </w:rPr>
            </w:pPr>
            <w:r w:rsidRPr="00D32765">
              <w:rPr>
                <w:rFonts w:ascii="Calibri" w:eastAsia="Times New Roman" w:hAnsi="Calibri" w:cs="Calibri"/>
                <w:color w:val="000000"/>
                <w:sz w:val="20"/>
                <w:szCs w:val="20"/>
                <w:lang w:eastAsia="es-ES_tradnl"/>
              </w:rPr>
              <w:t>-50.642</w:t>
            </w:r>
          </w:p>
        </w:tc>
        <w:tc>
          <w:tcPr>
            <w:tcW w:w="0" w:type="auto"/>
            <w:tcBorders>
              <w:top w:val="nil"/>
              <w:left w:val="nil"/>
              <w:bottom w:val="single"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color w:val="000000"/>
                <w:sz w:val="20"/>
                <w:szCs w:val="20"/>
                <w:lang w:eastAsia="es-ES_tradnl"/>
              </w:rPr>
            </w:pPr>
            <w:r w:rsidRPr="00D32765">
              <w:rPr>
                <w:rFonts w:ascii="Calibri" w:eastAsia="Times New Roman" w:hAnsi="Calibri" w:cs="Calibri"/>
                <w:color w:val="000000"/>
                <w:sz w:val="20"/>
                <w:szCs w:val="20"/>
                <w:lang w:eastAsia="es-ES_tradnl"/>
              </w:rPr>
              <w:t>-1.106</w:t>
            </w:r>
          </w:p>
        </w:tc>
        <w:tc>
          <w:tcPr>
            <w:tcW w:w="0" w:type="auto"/>
            <w:tcBorders>
              <w:top w:val="nil"/>
              <w:left w:val="nil"/>
              <w:bottom w:val="single"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color w:val="000000"/>
                <w:sz w:val="20"/>
                <w:szCs w:val="20"/>
                <w:lang w:eastAsia="es-ES_tradnl"/>
              </w:rPr>
            </w:pPr>
            <w:r w:rsidRPr="00D32765">
              <w:rPr>
                <w:rFonts w:ascii="Calibri" w:eastAsia="Times New Roman" w:hAnsi="Calibri" w:cs="Calibri"/>
                <w:color w:val="000000"/>
                <w:sz w:val="20"/>
                <w:szCs w:val="20"/>
                <w:lang w:eastAsia="es-ES_tradnl"/>
              </w:rPr>
              <w:t>-7.585</w:t>
            </w:r>
          </w:p>
        </w:tc>
        <w:tc>
          <w:tcPr>
            <w:tcW w:w="0" w:type="auto"/>
            <w:tcBorders>
              <w:top w:val="nil"/>
              <w:left w:val="nil"/>
              <w:bottom w:val="single"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color w:val="000000"/>
                <w:sz w:val="20"/>
                <w:szCs w:val="20"/>
                <w:lang w:eastAsia="es-ES_tradnl"/>
              </w:rPr>
            </w:pPr>
            <w:r w:rsidRPr="00D32765">
              <w:rPr>
                <w:rFonts w:ascii="Calibri" w:eastAsia="Times New Roman" w:hAnsi="Calibri" w:cs="Calibri"/>
                <w:color w:val="000000"/>
                <w:sz w:val="20"/>
                <w:szCs w:val="20"/>
                <w:lang w:eastAsia="es-ES_tradnl"/>
              </w:rPr>
              <w:t>5.856</w:t>
            </w:r>
          </w:p>
        </w:tc>
        <w:tc>
          <w:tcPr>
            <w:tcW w:w="0" w:type="auto"/>
            <w:tcBorders>
              <w:top w:val="nil"/>
              <w:left w:val="nil"/>
              <w:bottom w:val="single"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color w:val="000000"/>
                <w:sz w:val="20"/>
                <w:szCs w:val="20"/>
                <w:lang w:eastAsia="es-ES_tradnl"/>
              </w:rPr>
            </w:pPr>
            <w:r w:rsidRPr="00D32765">
              <w:rPr>
                <w:rFonts w:ascii="Calibri" w:eastAsia="Times New Roman" w:hAnsi="Calibri" w:cs="Calibri"/>
                <w:color w:val="000000"/>
                <w:sz w:val="20"/>
                <w:szCs w:val="20"/>
                <w:lang w:eastAsia="es-ES_tradnl"/>
              </w:rPr>
              <w:t>-1.685</w:t>
            </w:r>
          </w:p>
        </w:tc>
        <w:tc>
          <w:tcPr>
            <w:tcW w:w="1443" w:type="dxa"/>
            <w:tcBorders>
              <w:top w:val="nil"/>
              <w:left w:val="nil"/>
              <w:bottom w:val="single" w:sz="4" w:space="0" w:color="auto"/>
              <w:right w:val="single" w:sz="4" w:space="0" w:color="auto"/>
            </w:tcBorders>
            <w:shd w:val="clear" w:color="000000" w:fill="DBE5F1"/>
            <w:noWrap/>
            <w:vAlign w:val="bottom"/>
            <w:hideMark/>
          </w:tcPr>
          <w:p w:rsidR="00D32765" w:rsidRPr="00D32765" w:rsidRDefault="00D32765" w:rsidP="00D32765">
            <w:pPr>
              <w:spacing w:after="0" w:line="240" w:lineRule="auto"/>
              <w:jc w:val="center"/>
              <w:rPr>
                <w:rFonts w:ascii="Calibri" w:eastAsia="Times New Roman" w:hAnsi="Calibri" w:cs="Calibri"/>
                <w:color w:val="000000"/>
                <w:sz w:val="20"/>
                <w:szCs w:val="20"/>
                <w:lang w:eastAsia="es-ES_tradnl"/>
              </w:rPr>
            </w:pPr>
            <w:r w:rsidRPr="00D32765">
              <w:rPr>
                <w:rFonts w:ascii="Calibri" w:eastAsia="Times New Roman" w:hAnsi="Calibri" w:cs="Calibri"/>
                <w:color w:val="000000"/>
                <w:sz w:val="20"/>
                <w:szCs w:val="20"/>
                <w:lang w:eastAsia="es-ES_tradnl"/>
              </w:rPr>
              <w:t>-43.679</w:t>
            </w:r>
          </w:p>
        </w:tc>
      </w:tr>
    </w:tbl>
    <w:p w:rsidR="00021844" w:rsidRDefault="00021844" w:rsidP="00021844">
      <w:pPr>
        <w:jc w:val="both"/>
        <w:rPr>
          <w:sz w:val="20"/>
          <w:szCs w:val="20"/>
        </w:rPr>
      </w:pPr>
      <w:r>
        <w:rPr>
          <w:sz w:val="20"/>
          <w:szCs w:val="20"/>
        </w:rPr>
        <w:t>Fuente: Elaboración propia en base SIPA.</w:t>
      </w:r>
    </w:p>
    <w:p w:rsidR="00FE6C6B" w:rsidRPr="00E61111" w:rsidRDefault="00FE6C6B" w:rsidP="00FE6C6B">
      <w:pPr>
        <w:jc w:val="both"/>
      </w:pPr>
      <w:r w:rsidRPr="00E61111">
        <w:t xml:space="preserve">Cuadro: Evolución </w:t>
      </w:r>
      <w:r w:rsidR="0011298B">
        <w:t>del empleo del sector público</w:t>
      </w:r>
      <w:r w:rsidRPr="00E61111">
        <w:t>. 2015 – 2016.</w:t>
      </w:r>
    </w:p>
    <w:p w:rsidR="006C63AA" w:rsidRDefault="006C63AA" w:rsidP="001F4F27">
      <w:pPr>
        <w:jc w:val="both"/>
        <w:rPr>
          <w:sz w:val="20"/>
          <w:szCs w:val="20"/>
        </w:rPr>
      </w:pPr>
      <w:r>
        <w:rPr>
          <w:noProof/>
          <w:sz w:val="20"/>
          <w:szCs w:val="20"/>
          <w:lang w:val="es-AR" w:eastAsia="es-AR"/>
        </w:rPr>
        <w:drawing>
          <wp:inline distT="0" distB="0" distL="0" distR="0">
            <wp:extent cx="4276725" cy="2571750"/>
            <wp:effectExtent l="19050" t="0" r="9525"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276725" cy="2571750"/>
                    </a:xfrm>
                    <a:prstGeom prst="rect">
                      <a:avLst/>
                    </a:prstGeom>
                    <a:noFill/>
                    <a:ln w="9525">
                      <a:noFill/>
                      <a:miter lim="800000"/>
                      <a:headEnd/>
                      <a:tailEnd/>
                    </a:ln>
                  </pic:spPr>
                </pic:pic>
              </a:graphicData>
            </a:graphic>
          </wp:inline>
        </w:drawing>
      </w:r>
    </w:p>
    <w:p w:rsidR="00CD1455" w:rsidRDefault="00CD1455" w:rsidP="00CD1455">
      <w:pPr>
        <w:jc w:val="both"/>
        <w:rPr>
          <w:sz w:val="20"/>
          <w:szCs w:val="20"/>
        </w:rPr>
      </w:pPr>
      <w:r>
        <w:rPr>
          <w:sz w:val="20"/>
          <w:szCs w:val="20"/>
        </w:rPr>
        <w:t>Fuente: SIPA</w:t>
      </w:r>
      <w:r w:rsidR="0011298B">
        <w:rPr>
          <w:sz w:val="20"/>
          <w:szCs w:val="20"/>
        </w:rPr>
        <w:t xml:space="preserve"> – Ministerio de Trabajo</w:t>
      </w:r>
      <w:r>
        <w:rPr>
          <w:sz w:val="20"/>
          <w:szCs w:val="20"/>
        </w:rPr>
        <w:t>.</w:t>
      </w:r>
    </w:p>
    <w:p w:rsidR="006C63AA" w:rsidRDefault="006C63AA" w:rsidP="001F4F27">
      <w:pPr>
        <w:jc w:val="both"/>
        <w:rPr>
          <w:sz w:val="20"/>
          <w:szCs w:val="20"/>
        </w:rPr>
      </w:pPr>
    </w:p>
    <w:p w:rsidR="006C63AA" w:rsidRPr="00E024F3" w:rsidRDefault="006C63AA" w:rsidP="001F4F27">
      <w:pPr>
        <w:jc w:val="both"/>
        <w:rPr>
          <w:sz w:val="20"/>
          <w:szCs w:val="20"/>
        </w:rPr>
      </w:pPr>
    </w:p>
    <w:sectPr w:rsidR="006C63AA" w:rsidRPr="00E024F3" w:rsidSect="00C96B3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C6" w:rsidRDefault="00D31EC6" w:rsidP="00B32796">
      <w:pPr>
        <w:spacing w:after="0" w:line="240" w:lineRule="auto"/>
      </w:pPr>
      <w:r>
        <w:separator/>
      </w:r>
    </w:p>
  </w:endnote>
  <w:endnote w:type="continuationSeparator" w:id="0">
    <w:p w:rsidR="00D31EC6" w:rsidRDefault="00D31EC6" w:rsidP="00B32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9610"/>
      <w:docPartObj>
        <w:docPartGallery w:val="Page Numbers (Bottom of Page)"/>
        <w:docPartUnique/>
      </w:docPartObj>
    </w:sdtPr>
    <w:sdtContent>
      <w:p w:rsidR="00B32796" w:rsidRDefault="00C9019F">
        <w:pPr>
          <w:pStyle w:val="Piedepgina"/>
          <w:jc w:val="right"/>
        </w:pPr>
        <w:r>
          <w:fldChar w:fldCharType="begin"/>
        </w:r>
        <w:r w:rsidR="00B40982">
          <w:instrText xml:space="preserve"> PAGE   \* MERGEFORMAT </w:instrText>
        </w:r>
        <w:r>
          <w:fldChar w:fldCharType="separate"/>
        </w:r>
        <w:r w:rsidR="00D31EC6">
          <w:rPr>
            <w:noProof/>
          </w:rPr>
          <w:t>1</w:t>
        </w:r>
        <w:r>
          <w:rPr>
            <w:noProof/>
          </w:rPr>
          <w:fldChar w:fldCharType="end"/>
        </w:r>
      </w:p>
    </w:sdtContent>
  </w:sdt>
  <w:p w:rsidR="00B32796" w:rsidRDefault="00B327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C6" w:rsidRDefault="00D31EC6" w:rsidP="00B32796">
      <w:pPr>
        <w:spacing w:after="0" w:line="240" w:lineRule="auto"/>
      </w:pPr>
      <w:r>
        <w:separator/>
      </w:r>
    </w:p>
  </w:footnote>
  <w:footnote w:type="continuationSeparator" w:id="0">
    <w:p w:rsidR="00D31EC6" w:rsidRDefault="00D31EC6" w:rsidP="00B32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1A2"/>
    <w:multiLevelType w:val="hybridMultilevel"/>
    <w:tmpl w:val="CD166726"/>
    <w:lvl w:ilvl="0" w:tplc="42288B48">
      <w:start w:val="269"/>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0AA7A55"/>
    <w:multiLevelType w:val="hybridMultilevel"/>
    <w:tmpl w:val="DB9A66B0"/>
    <w:lvl w:ilvl="0" w:tplc="8C4A5BE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0DA086F"/>
    <w:multiLevelType w:val="hybridMultilevel"/>
    <w:tmpl w:val="752EF4C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176AF9"/>
    <w:rsid w:val="00001B17"/>
    <w:rsid w:val="00021844"/>
    <w:rsid w:val="00073C16"/>
    <w:rsid w:val="000747F0"/>
    <w:rsid w:val="00093326"/>
    <w:rsid w:val="000B2C1B"/>
    <w:rsid w:val="000B2C39"/>
    <w:rsid w:val="000E0F5A"/>
    <w:rsid w:val="0011298B"/>
    <w:rsid w:val="00160C2A"/>
    <w:rsid w:val="00176AF9"/>
    <w:rsid w:val="001A6B9E"/>
    <w:rsid w:val="001D5A6E"/>
    <w:rsid w:val="001F3ADB"/>
    <w:rsid w:val="001F4F27"/>
    <w:rsid w:val="002573A2"/>
    <w:rsid w:val="0028736D"/>
    <w:rsid w:val="002B4B68"/>
    <w:rsid w:val="002B6C0D"/>
    <w:rsid w:val="002F6A47"/>
    <w:rsid w:val="00314A66"/>
    <w:rsid w:val="003247E1"/>
    <w:rsid w:val="003266BF"/>
    <w:rsid w:val="00332919"/>
    <w:rsid w:val="00357CCF"/>
    <w:rsid w:val="00363D2D"/>
    <w:rsid w:val="003713F1"/>
    <w:rsid w:val="003A7A94"/>
    <w:rsid w:val="003F4933"/>
    <w:rsid w:val="00404CC7"/>
    <w:rsid w:val="004231D2"/>
    <w:rsid w:val="004F6963"/>
    <w:rsid w:val="00512649"/>
    <w:rsid w:val="0054073C"/>
    <w:rsid w:val="005923A5"/>
    <w:rsid w:val="005B1507"/>
    <w:rsid w:val="005B60E2"/>
    <w:rsid w:val="005D3FAC"/>
    <w:rsid w:val="00623AF8"/>
    <w:rsid w:val="00656CF6"/>
    <w:rsid w:val="00666498"/>
    <w:rsid w:val="006C63AA"/>
    <w:rsid w:val="006F680D"/>
    <w:rsid w:val="007174C3"/>
    <w:rsid w:val="00845F9F"/>
    <w:rsid w:val="008B415E"/>
    <w:rsid w:val="00906FB2"/>
    <w:rsid w:val="00944E9F"/>
    <w:rsid w:val="00955C36"/>
    <w:rsid w:val="009650FF"/>
    <w:rsid w:val="00991DDD"/>
    <w:rsid w:val="009C013A"/>
    <w:rsid w:val="009E5B66"/>
    <w:rsid w:val="00A3134B"/>
    <w:rsid w:val="00A54869"/>
    <w:rsid w:val="00B32796"/>
    <w:rsid w:val="00B40982"/>
    <w:rsid w:val="00BD3AA4"/>
    <w:rsid w:val="00C9019F"/>
    <w:rsid w:val="00C96B32"/>
    <w:rsid w:val="00CD1455"/>
    <w:rsid w:val="00D31EC6"/>
    <w:rsid w:val="00D32765"/>
    <w:rsid w:val="00D707D3"/>
    <w:rsid w:val="00D76D4B"/>
    <w:rsid w:val="00DA0D1F"/>
    <w:rsid w:val="00DC1607"/>
    <w:rsid w:val="00DE062C"/>
    <w:rsid w:val="00E024F3"/>
    <w:rsid w:val="00E21261"/>
    <w:rsid w:val="00E61111"/>
    <w:rsid w:val="00E616FA"/>
    <w:rsid w:val="00EA4247"/>
    <w:rsid w:val="00EC7C36"/>
    <w:rsid w:val="00F51EDB"/>
    <w:rsid w:val="00F538CC"/>
    <w:rsid w:val="00F60D7D"/>
    <w:rsid w:val="00F802CE"/>
    <w:rsid w:val="00FA29E9"/>
    <w:rsid w:val="00FB6485"/>
    <w:rsid w:val="00FD3365"/>
    <w:rsid w:val="00FE6C6B"/>
    <w:rsid w:val="00FF5CD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7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36D"/>
    <w:rPr>
      <w:rFonts w:ascii="Tahoma" w:hAnsi="Tahoma" w:cs="Tahoma"/>
      <w:sz w:val="16"/>
      <w:szCs w:val="16"/>
    </w:rPr>
  </w:style>
  <w:style w:type="paragraph" w:styleId="Prrafodelista">
    <w:name w:val="List Paragraph"/>
    <w:basedOn w:val="Normal"/>
    <w:uiPriority w:val="34"/>
    <w:qFormat/>
    <w:rsid w:val="000E0F5A"/>
    <w:pPr>
      <w:ind w:left="720"/>
      <w:contextualSpacing/>
    </w:pPr>
  </w:style>
  <w:style w:type="paragraph" w:styleId="Encabezado">
    <w:name w:val="header"/>
    <w:basedOn w:val="Normal"/>
    <w:link w:val="EncabezadoCar"/>
    <w:uiPriority w:val="99"/>
    <w:semiHidden/>
    <w:unhideWhenUsed/>
    <w:rsid w:val="00B327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32796"/>
  </w:style>
  <w:style w:type="paragraph" w:styleId="Piedepgina">
    <w:name w:val="footer"/>
    <w:basedOn w:val="Normal"/>
    <w:link w:val="PiedepginaCar"/>
    <w:uiPriority w:val="99"/>
    <w:unhideWhenUsed/>
    <w:rsid w:val="00B327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2796"/>
  </w:style>
</w:styles>
</file>

<file path=word/webSettings.xml><?xml version="1.0" encoding="utf-8"?>
<w:webSettings xmlns:r="http://schemas.openxmlformats.org/officeDocument/2006/relationships" xmlns:w="http://schemas.openxmlformats.org/wordprocessingml/2006/main">
  <w:divs>
    <w:div w:id="241376506">
      <w:bodyDiv w:val="1"/>
      <w:marLeft w:val="0"/>
      <w:marRight w:val="0"/>
      <w:marTop w:val="0"/>
      <w:marBottom w:val="0"/>
      <w:divBdr>
        <w:top w:val="none" w:sz="0" w:space="0" w:color="auto"/>
        <w:left w:val="none" w:sz="0" w:space="0" w:color="auto"/>
        <w:bottom w:val="none" w:sz="0" w:space="0" w:color="auto"/>
        <w:right w:val="none" w:sz="0" w:space="0" w:color="auto"/>
      </w:divBdr>
    </w:div>
    <w:div w:id="363218523">
      <w:bodyDiv w:val="1"/>
      <w:marLeft w:val="0"/>
      <w:marRight w:val="0"/>
      <w:marTop w:val="0"/>
      <w:marBottom w:val="0"/>
      <w:divBdr>
        <w:top w:val="none" w:sz="0" w:space="0" w:color="auto"/>
        <w:left w:val="none" w:sz="0" w:space="0" w:color="auto"/>
        <w:bottom w:val="none" w:sz="0" w:space="0" w:color="auto"/>
        <w:right w:val="none" w:sz="0" w:space="0" w:color="auto"/>
      </w:divBdr>
    </w:div>
    <w:div w:id="909074791">
      <w:bodyDiv w:val="1"/>
      <w:marLeft w:val="0"/>
      <w:marRight w:val="0"/>
      <w:marTop w:val="0"/>
      <w:marBottom w:val="0"/>
      <w:divBdr>
        <w:top w:val="none" w:sz="0" w:space="0" w:color="auto"/>
        <w:left w:val="none" w:sz="0" w:space="0" w:color="auto"/>
        <w:bottom w:val="none" w:sz="0" w:space="0" w:color="auto"/>
        <w:right w:val="none" w:sz="0" w:space="0" w:color="auto"/>
      </w:divBdr>
    </w:div>
    <w:div w:id="1026255053">
      <w:bodyDiv w:val="1"/>
      <w:marLeft w:val="0"/>
      <w:marRight w:val="0"/>
      <w:marTop w:val="0"/>
      <w:marBottom w:val="0"/>
      <w:divBdr>
        <w:top w:val="none" w:sz="0" w:space="0" w:color="auto"/>
        <w:left w:val="none" w:sz="0" w:space="0" w:color="auto"/>
        <w:bottom w:val="none" w:sz="0" w:space="0" w:color="auto"/>
        <w:right w:val="none" w:sz="0" w:space="0" w:color="auto"/>
      </w:divBdr>
    </w:div>
    <w:div w:id="1154683338">
      <w:bodyDiv w:val="1"/>
      <w:marLeft w:val="0"/>
      <w:marRight w:val="0"/>
      <w:marTop w:val="0"/>
      <w:marBottom w:val="0"/>
      <w:divBdr>
        <w:top w:val="none" w:sz="0" w:space="0" w:color="auto"/>
        <w:left w:val="none" w:sz="0" w:space="0" w:color="auto"/>
        <w:bottom w:val="none" w:sz="0" w:space="0" w:color="auto"/>
        <w:right w:val="none" w:sz="0" w:space="0" w:color="auto"/>
      </w:divBdr>
    </w:div>
    <w:div w:id="1727336318">
      <w:bodyDiv w:val="1"/>
      <w:marLeft w:val="0"/>
      <w:marRight w:val="0"/>
      <w:marTop w:val="0"/>
      <w:marBottom w:val="0"/>
      <w:divBdr>
        <w:top w:val="none" w:sz="0" w:space="0" w:color="auto"/>
        <w:left w:val="none" w:sz="0" w:space="0" w:color="auto"/>
        <w:bottom w:val="none" w:sz="0" w:space="0" w:color="auto"/>
        <w:right w:val="none" w:sz="0" w:space="0" w:color="auto"/>
      </w:divBdr>
    </w:div>
    <w:div w:id="21372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uario\Escritorio\IDEP\Pedidos%20Express%20a%20las%20angels\Balance%20de%20empleo_Claudi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chart>
    <c:title/>
    <c:plotArea>
      <c:layout/>
      <c:lineChart>
        <c:grouping val="standard"/>
        <c:ser>
          <c:idx val="0"/>
          <c:order val="0"/>
          <c:tx>
            <c:strRef>
              <c:f>Hoja1!$E$8</c:f>
              <c:strCache>
                <c:ptCount val="1"/>
                <c:pt idx="0">
                  <c:v>Tasa de empleo</c:v>
                </c:pt>
              </c:strCache>
            </c:strRef>
          </c:tx>
          <c:spPr>
            <a:ln w="19050">
              <a:prstDash val="sysDash"/>
            </a:ln>
          </c:spPr>
          <c:marker>
            <c:symbol val="none"/>
          </c:marker>
          <c:dLbls>
            <c:spPr>
              <a:noFill/>
              <a:ln>
                <a:noFill/>
              </a:ln>
              <a:effectLst/>
            </c:spPr>
            <c:txPr>
              <a:bodyPr/>
              <a:lstStyle/>
              <a:p>
                <a:pPr>
                  <a:defRPr sz="700"/>
                </a:pPr>
                <a:endParaRPr lang="es-AR"/>
              </a:p>
            </c:txPr>
            <c:showVal val="1"/>
            <c:extLst>
              <c:ext xmlns:c15="http://schemas.microsoft.com/office/drawing/2012/chart" uri="{CE6537A1-D6FC-4f65-9D91-7224C49458BB}">
                <c15:showLeaderLines val="0"/>
              </c:ext>
            </c:extLst>
          </c:dLbls>
          <c:trendline>
            <c:spPr>
              <a:ln w="19050">
                <a:solidFill>
                  <a:srgbClr val="FF0000"/>
                </a:solidFill>
              </a:ln>
            </c:spPr>
            <c:trendlineType val="log"/>
          </c:trendline>
          <c:cat>
            <c:strRef>
              <c:f>Hoja1!$D$9:$D$29</c:f>
              <c:strCache>
                <c:ptCount val="21"/>
                <c:pt idx="0">
                  <c:v>2011-IV</c:v>
                </c:pt>
                <c:pt idx="1">
                  <c:v>2012-I</c:v>
                </c:pt>
                <c:pt idx="2">
                  <c:v>2012-II</c:v>
                </c:pt>
                <c:pt idx="3">
                  <c:v>2012-III</c:v>
                </c:pt>
                <c:pt idx="4">
                  <c:v>2012-IV</c:v>
                </c:pt>
                <c:pt idx="5">
                  <c:v>2013-I</c:v>
                </c:pt>
                <c:pt idx="6">
                  <c:v>2013-II</c:v>
                </c:pt>
                <c:pt idx="7">
                  <c:v>2013-III</c:v>
                </c:pt>
                <c:pt idx="8">
                  <c:v>2013-IV</c:v>
                </c:pt>
                <c:pt idx="9">
                  <c:v>2014-I</c:v>
                </c:pt>
                <c:pt idx="10">
                  <c:v>2014-II</c:v>
                </c:pt>
                <c:pt idx="11">
                  <c:v>2014-III</c:v>
                </c:pt>
                <c:pt idx="12">
                  <c:v>2014-IV</c:v>
                </c:pt>
                <c:pt idx="13">
                  <c:v>2015-I</c:v>
                </c:pt>
                <c:pt idx="14">
                  <c:v>2015-II</c:v>
                </c:pt>
                <c:pt idx="15">
                  <c:v>2015-III</c:v>
                </c:pt>
                <c:pt idx="16">
                  <c:v>2015-IV</c:v>
                </c:pt>
                <c:pt idx="17">
                  <c:v>2016-I</c:v>
                </c:pt>
                <c:pt idx="18">
                  <c:v>2016-II</c:v>
                </c:pt>
                <c:pt idx="19">
                  <c:v>2016-III</c:v>
                </c:pt>
                <c:pt idx="20">
                  <c:v>2016-IV</c:v>
                </c:pt>
              </c:strCache>
            </c:strRef>
          </c:cat>
          <c:val>
            <c:numRef>
              <c:f>Hoja1!$E$9:$E$29</c:f>
              <c:numCache>
                <c:formatCode>0.0%</c:formatCode>
                <c:ptCount val="21"/>
                <c:pt idx="0">
                  <c:v>0.42972641613833484</c:v>
                </c:pt>
                <c:pt idx="1">
                  <c:v>0.42280780346860924</c:v>
                </c:pt>
                <c:pt idx="2">
                  <c:v>0.42839639105766042</c:v>
                </c:pt>
                <c:pt idx="3">
                  <c:v>0.43300000000000016</c:v>
                </c:pt>
                <c:pt idx="4">
                  <c:v>0.43136957907472973</c:v>
                </c:pt>
                <c:pt idx="5">
                  <c:v>0.42200000000000021</c:v>
                </c:pt>
                <c:pt idx="6">
                  <c:v>0.43100000000000022</c:v>
                </c:pt>
                <c:pt idx="7">
                  <c:v>0.42926712688795116</c:v>
                </c:pt>
                <c:pt idx="8">
                  <c:v>0.42700000000000021</c:v>
                </c:pt>
                <c:pt idx="9">
                  <c:v>0.41800000000000015</c:v>
                </c:pt>
                <c:pt idx="10">
                  <c:v>0.41400000000000015</c:v>
                </c:pt>
                <c:pt idx="11">
                  <c:v>0.41300000000000014</c:v>
                </c:pt>
                <c:pt idx="12">
                  <c:v>0.42100000000000021</c:v>
                </c:pt>
                <c:pt idx="13">
                  <c:v>0.41400000000000015</c:v>
                </c:pt>
                <c:pt idx="14">
                  <c:v>0.41500000000000015</c:v>
                </c:pt>
                <c:pt idx="15">
                  <c:v>0.42200000000000021</c:v>
                </c:pt>
                <c:pt idx="18">
                  <c:v>0.41682291092239332</c:v>
                </c:pt>
                <c:pt idx="19">
                  <c:v>0.42083455558814908</c:v>
                </c:pt>
                <c:pt idx="20">
                  <c:v>0.41905284329859216</c:v>
                </c:pt>
              </c:numCache>
            </c:numRef>
          </c:val>
        </c:ser>
        <c:marker val="1"/>
        <c:axId val="73775360"/>
        <c:axId val="73781248"/>
      </c:lineChart>
      <c:catAx>
        <c:axId val="73775360"/>
        <c:scaling>
          <c:orientation val="minMax"/>
        </c:scaling>
        <c:axPos val="b"/>
        <c:numFmt formatCode="General" sourceLinked="0"/>
        <c:tickLblPos val="nextTo"/>
        <c:crossAx val="73781248"/>
        <c:crosses val="autoZero"/>
        <c:auto val="1"/>
        <c:lblAlgn val="ctr"/>
        <c:lblOffset val="100"/>
      </c:catAx>
      <c:valAx>
        <c:axId val="73781248"/>
        <c:scaling>
          <c:orientation val="minMax"/>
        </c:scaling>
        <c:axPos val="l"/>
        <c:majorGridlines/>
        <c:numFmt formatCode="0.0%" sourceLinked="1"/>
        <c:tickLblPos val="nextTo"/>
        <c:crossAx val="7377536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ES_tradnl" sz="1500"/>
              <a:t>Estimación de tasa de empleo registrado</a:t>
            </a:r>
            <a:r>
              <a:rPr lang="es-ES_tradnl" sz="1500" baseline="0"/>
              <a:t> </a:t>
            </a:r>
            <a:r>
              <a:rPr lang="es-ES_tradnl" sz="1500"/>
              <a:t>SIPA</a:t>
            </a:r>
          </a:p>
        </c:rich>
      </c:tx>
    </c:title>
    <c:plotArea>
      <c:layout/>
      <c:lineChart>
        <c:grouping val="standard"/>
        <c:ser>
          <c:idx val="0"/>
          <c:order val="0"/>
          <c:tx>
            <c:strRef>
              <c:f>Hoja1!$D$54</c:f>
              <c:strCache>
                <c:ptCount val="1"/>
                <c:pt idx="0">
                  <c:v>Estimación de tasa de empleo SIPA</c:v>
                </c:pt>
              </c:strCache>
            </c:strRef>
          </c:tx>
          <c:marker>
            <c:symbol val="none"/>
          </c:marker>
          <c:dLbls>
            <c:spPr>
              <a:noFill/>
              <a:ln>
                <a:noFill/>
              </a:ln>
              <a:effectLst/>
            </c:spPr>
            <c:txPr>
              <a:bodyPr/>
              <a:lstStyle/>
              <a:p>
                <a:pPr>
                  <a:defRPr sz="700"/>
                </a:pPr>
                <a:endParaRPr lang="es-AR"/>
              </a:p>
            </c:txPr>
            <c:showVal val="1"/>
            <c:extLst>
              <c:ext xmlns:c15="http://schemas.microsoft.com/office/drawing/2012/chart" uri="{CE6537A1-D6FC-4f65-9D91-7224C49458BB}">
                <c15:showLeaderLines val="0"/>
              </c:ext>
            </c:extLst>
          </c:dLbls>
          <c:cat>
            <c:strRef>
              <c:f>Hoja1!$B$55:$B$68</c:f>
              <c:strCache>
                <c:ptCount val="14"/>
                <c:pt idx="0">
                  <c:v>dic-15</c:v>
                </c:pt>
                <c:pt idx="1">
                  <c:v>ene-16*</c:v>
                </c:pt>
                <c:pt idx="2">
                  <c:v>feb-16*</c:v>
                </c:pt>
                <c:pt idx="3">
                  <c:v>mar-16*</c:v>
                </c:pt>
                <c:pt idx="4">
                  <c:v>abr-16*</c:v>
                </c:pt>
                <c:pt idx="5">
                  <c:v>may-16*</c:v>
                </c:pt>
                <c:pt idx="6">
                  <c:v>jun-16*</c:v>
                </c:pt>
                <c:pt idx="7">
                  <c:v>jul-16*</c:v>
                </c:pt>
                <c:pt idx="8">
                  <c:v>ago-16*</c:v>
                </c:pt>
                <c:pt idx="9">
                  <c:v>sep-16*</c:v>
                </c:pt>
                <c:pt idx="10">
                  <c:v>oct-16*</c:v>
                </c:pt>
                <c:pt idx="11">
                  <c:v>nov-16*</c:v>
                </c:pt>
                <c:pt idx="12">
                  <c:v>dic-16*</c:v>
                </c:pt>
                <c:pt idx="13">
                  <c:v>ene-17*</c:v>
                </c:pt>
              </c:strCache>
            </c:strRef>
          </c:cat>
          <c:val>
            <c:numRef>
              <c:f>Hoja1!$D$55:$D$68</c:f>
              <c:numCache>
                <c:formatCode>0.0%</c:formatCode>
                <c:ptCount val="14"/>
                <c:pt idx="0">
                  <c:v>0.30124288607006328</c:v>
                </c:pt>
                <c:pt idx="1">
                  <c:v>0.29942131650857395</c:v>
                </c:pt>
                <c:pt idx="2">
                  <c:v>0.29910569415081761</c:v>
                </c:pt>
                <c:pt idx="3">
                  <c:v>0.29871789021068518</c:v>
                </c:pt>
                <c:pt idx="4">
                  <c:v>0.29778726986181037</c:v>
                </c:pt>
                <c:pt idx="5">
                  <c:v>0.29737707402986063</c:v>
                </c:pt>
                <c:pt idx="6">
                  <c:v>0.29784573391869501</c:v>
                </c:pt>
                <c:pt idx="7">
                  <c:v>0.29735457493063605</c:v>
                </c:pt>
                <c:pt idx="8">
                  <c:v>0.2976718466140188</c:v>
                </c:pt>
                <c:pt idx="9">
                  <c:v>0.29786455746512192</c:v>
                </c:pt>
                <c:pt idx="10">
                  <c:v>0.2987928342808045</c:v>
                </c:pt>
                <c:pt idx="11">
                  <c:v>0.29950410776122932</c:v>
                </c:pt>
                <c:pt idx="12">
                  <c:v>0.29963932171244417</c:v>
                </c:pt>
                <c:pt idx="13">
                  <c:v>0.29814100711058206</c:v>
                </c:pt>
              </c:numCache>
            </c:numRef>
          </c:val>
        </c:ser>
        <c:marker val="1"/>
        <c:axId val="73792512"/>
        <c:axId val="73798400"/>
      </c:lineChart>
      <c:catAx>
        <c:axId val="73792512"/>
        <c:scaling>
          <c:orientation val="minMax"/>
        </c:scaling>
        <c:axPos val="b"/>
        <c:numFmt formatCode="General" sourceLinked="0"/>
        <c:tickLblPos val="nextTo"/>
        <c:crossAx val="73798400"/>
        <c:crosses val="autoZero"/>
        <c:auto val="1"/>
        <c:lblAlgn val="ctr"/>
        <c:lblOffset val="100"/>
      </c:catAx>
      <c:valAx>
        <c:axId val="73798400"/>
        <c:scaling>
          <c:orientation val="minMax"/>
        </c:scaling>
        <c:axPos val="l"/>
        <c:majorGridlines/>
        <c:numFmt formatCode="0.0%" sourceLinked="1"/>
        <c:tickLblPos val="nextTo"/>
        <c:crossAx val="73792512"/>
        <c:crosses val="autoZero"/>
        <c:crossBetween val="between"/>
      </c:valAx>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0DA0-82D0-452E-A542-70B5EB56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1450</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FlavioG</cp:lastModifiedBy>
  <cp:revision>2</cp:revision>
  <dcterms:created xsi:type="dcterms:W3CDTF">2017-04-26T12:45:00Z</dcterms:created>
  <dcterms:modified xsi:type="dcterms:W3CDTF">2017-04-26T12:45:00Z</dcterms:modified>
</cp:coreProperties>
</file>